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1247"/>
        <w:gridCol w:w="4394"/>
      </w:tblGrid>
      <w:tr w:rsidR="009A0208" w:rsidTr="001063C8">
        <w:trPr>
          <w:trHeight w:val="1276"/>
          <w:jc w:val="right"/>
        </w:trPr>
        <w:tc>
          <w:tcPr>
            <w:tcW w:w="4428" w:type="dxa"/>
            <w:tcBorders>
              <w:top w:val="nil"/>
              <w:left w:val="nil"/>
              <w:bottom w:val="nil"/>
              <w:right w:val="nil"/>
            </w:tcBorders>
          </w:tcPr>
          <w:p w:rsidR="009A0208" w:rsidRPr="00C50B2F" w:rsidRDefault="009A0208" w:rsidP="001063C8">
            <w:pPr>
              <w:pStyle w:val="1"/>
              <w:ind w:left="-108" w:right="-108"/>
              <w:jc w:val="center"/>
              <w:rPr>
                <w:b/>
                <w:spacing w:val="14"/>
                <w:szCs w:val="24"/>
                <w:lang w:val="ru-RU"/>
              </w:rPr>
            </w:pPr>
            <w:r w:rsidRPr="00C50B2F">
              <w:rPr>
                <w:b/>
                <w:spacing w:val="14"/>
                <w:szCs w:val="24"/>
                <w:lang w:val="ru-RU"/>
              </w:rPr>
              <w:t>Государственный комитет по ценовой политике – Региональная энергетическая комиссия</w:t>
            </w:r>
          </w:p>
          <w:p w:rsidR="009A0208" w:rsidRPr="00C50B2F" w:rsidRDefault="009A0208" w:rsidP="001063C8">
            <w:pPr>
              <w:pStyle w:val="1"/>
              <w:ind w:left="-108" w:right="-108"/>
              <w:jc w:val="center"/>
              <w:rPr>
                <w:b/>
                <w:spacing w:val="14"/>
                <w:szCs w:val="24"/>
                <w:lang w:val="ru-RU"/>
              </w:rPr>
            </w:pPr>
            <w:r w:rsidRPr="00C50B2F">
              <w:rPr>
                <w:b/>
                <w:spacing w:val="14"/>
                <w:szCs w:val="24"/>
                <w:lang w:val="ru-RU"/>
              </w:rPr>
              <w:t>Республики Саха (Якутия)</w:t>
            </w:r>
          </w:p>
          <w:p w:rsidR="009A0208" w:rsidRPr="00C50B2F" w:rsidRDefault="009A0208" w:rsidP="001063C8">
            <w:pPr>
              <w:pStyle w:val="1"/>
              <w:ind w:left="-108" w:right="-108"/>
              <w:jc w:val="center"/>
              <w:rPr>
                <w:b/>
                <w:spacing w:val="14"/>
                <w:szCs w:val="24"/>
                <w:lang w:val="ru-RU"/>
              </w:rPr>
            </w:pPr>
          </w:p>
          <w:p w:rsidR="009A0208" w:rsidRPr="00C50B2F" w:rsidRDefault="009A0208" w:rsidP="001063C8">
            <w:pPr>
              <w:pStyle w:val="1"/>
              <w:ind w:left="-108" w:right="-108"/>
              <w:jc w:val="center"/>
              <w:rPr>
                <w:b/>
                <w:spacing w:val="14"/>
                <w:szCs w:val="24"/>
                <w:lang w:val="ru-RU"/>
              </w:rPr>
            </w:pPr>
            <w:r w:rsidRPr="00C50B2F">
              <w:rPr>
                <w:b/>
                <w:spacing w:val="14"/>
                <w:szCs w:val="24"/>
                <w:lang w:val="ru-RU"/>
              </w:rPr>
              <w:t>ПРАВЛЕНИЕ</w:t>
            </w:r>
          </w:p>
          <w:p w:rsidR="009A0208" w:rsidRPr="00C50B2F" w:rsidRDefault="009A0208" w:rsidP="001063C8">
            <w:pPr>
              <w:pStyle w:val="1"/>
              <w:ind w:left="-108" w:right="-108"/>
              <w:jc w:val="center"/>
              <w:rPr>
                <w:rFonts w:ascii="Times Sakha" w:hAnsi="Times Sakha"/>
                <w:b/>
                <w:spacing w:val="14"/>
                <w:szCs w:val="24"/>
                <w:lang w:val="ru-RU"/>
              </w:rPr>
            </w:pPr>
          </w:p>
        </w:tc>
        <w:tc>
          <w:tcPr>
            <w:tcW w:w="1247" w:type="dxa"/>
            <w:tcBorders>
              <w:top w:val="nil"/>
              <w:left w:val="nil"/>
              <w:bottom w:val="nil"/>
              <w:right w:val="nil"/>
            </w:tcBorders>
          </w:tcPr>
          <w:p w:rsidR="009A0208" w:rsidRDefault="00187F1E" w:rsidP="001063C8">
            <w:pPr>
              <w:jc w:val="center"/>
            </w:pPr>
            <w:r>
              <w:rPr>
                <w:noProof/>
              </w:rPr>
              <w:drawing>
                <wp:inline distT="0" distB="0" distL="0" distR="0">
                  <wp:extent cx="676275" cy="695325"/>
                  <wp:effectExtent l="19050" t="0" r="9525" b="0"/>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srcRect/>
                          <a:stretch>
                            <a:fillRect/>
                          </a:stretch>
                        </pic:blipFill>
                        <pic:spPr bwMode="auto">
                          <a:xfrm>
                            <a:off x="0" y="0"/>
                            <a:ext cx="676275" cy="695325"/>
                          </a:xfrm>
                          <a:prstGeom prst="rect">
                            <a:avLst/>
                          </a:prstGeom>
                          <a:noFill/>
                          <a:ln w="9525">
                            <a:noFill/>
                            <a:miter lim="800000"/>
                            <a:headEnd/>
                            <a:tailEnd/>
                          </a:ln>
                        </pic:spPr>
                      </pic:pic>
                    </a:graphicData>
                  </a:graphic>
                </wp:inline>
              </w:drawing>
            </w:r>
          </w:p>
        </w:tc>
        <w:tc>
          <w:tcPr>
            <w:tcW w:w="4394" w:type="dxa"/>
            <w:tcBorders>
              <w:top w:val="nil"/>
              <w:left w:val="nil"/>
              <w:bottom w:val="nil"/>
              <w:right w:val="nil"/>
            </w:tcBorders>
          </w:tcPr>
          <w:p w:rsidR="009A0208" w:rsidRPr="00C50B2F" w:rsidRDefault="009A0208" w:rsidP="001063C8">
            <w:pPr>
              <w:pStyle w:val="1"/>
              <w:ind w:left="-108" w:right="-108"/>
              <w:jc w:val="center"/>
              <w:rPr>
                <w:rFonts w:ascii="Times Sakha" w:hAnsi="Times Sakha"/>
                <w:b/>
                <w:spacing w:val="14"/>
                <w:szCs w:val="24"/>
                <w:lang w:val="ru-RU"/>
              </w:rPr>
            </w:pPr>
            <w:r w:rsidRPr="00C50B2F">
              <w:rPr>
                <w:rFonts w:ascii="Times Sakha" w:hAnsi="Times Sakha"/>
                <w:b/>
                <w:spacing w:val="14"/>
                <w:szCs w:val="24"/>
                <w:lang w:val="ru-RU"/>
              </w:rPr>
              <w:t>Ñàõà Ðåñïóáëèêàòûí Сûàíа±à ïîëèòèêàтын ãîñóäàðñòâåííàé  êîìèòåта - Региональнай</w:t>
            </w:r>
          </w:p>
          <w:p w:rsidR="009A0208" w:rsidRPr="00C50B2F" w:rsidRDefault="009A0208" w:rsidP="001063C8">
            <w:pPr>
              <w:pStyle w:val="1"/>
              <w:ind w:left="-108" w:right="-108"/>
              <w:jc w:val="center"/>
              <w:rPr>
                <w:rFonts w:ascii="Times Sakha" w:hAnsi="Times Sakha"/>
                <w:b/>
                <w:spacing w:val="14"/>
                <w:szCs w:val="24"/>
                <w:lang w:val="ru-RU"/>
              </w:rPr>
            </w:pPr>
            <w:r w:rsidRPr="00C50B2F">
              <w:rPr>
                <w:rFonts w:ascii="Times Sakha" w:hAnsi="Times Sakha"/>
                <w:b/>
                <w:spacing w:val="14"/>
                <w:szCs w:val="24"/>
                <w:lang w:val="ru-RU"/>
              </w:rPr>
              <w:t>энергетическэй  комиссия</w:t>
            </w:r>
          </w:p>
          <w:p w:rsidR="009A0208" w:rsidRPr="00C50B2F" w:rsidRDefault="009A0208" w:rsidP="001063C8">
            <w:pPr>
              <w:pStyle w:val="1"/>
              <w:ind w:left="-108" w:right="-108"/>
              <w:jc w:val="center"/>
              <w:rPr>
                <w:rFonts w:ascii="Times Sakha" w:hAnsi="Times Sakha"/>
                <w:b/>
                <w:spacing w:val="14"/>
                <w:szCs w:val="24"/>
                <w:lang w:val="ru-RU"/>
              </w:rPr>
            </w:pPr>
          </w:p>
          <w:p w:rsidR="009A0208" w:rsidRPr="00C50B2F" w:rsidRDefault="009A0208" w:rsidP="001063C8">
            <w:pPr>
              <w:pStyle w:val="1"/>
              <w:ind w:left="-108" w:right="-108"/>
              <w:jc w:val="center"/>
              <w:rPr>
                <w:rFonts w:ascii="Times Sakha" w:hAnsi="Times Sakha"/>
                <w:b/>
                <w:spacing w:val="14"/>
                <w:szCs w:val="24"/>
                <w:lang w:val="ru-RU"/>
              </w:rPr>
            </w:pPr>
            <w:r w:rsidRPr="00C50B2F">
              <w:rPr>
                <w:rFonts w:ascii="Times Sakha" w:hAnsi="Times Sakha"/>
                <w:b/>
                <w:spacing w:val="14"/>
                <w:szCs w:val="24"/>
                <w:lang w:val="ru-RU"/>
              </w:rPr>
              <w:t>САЛАЛТА</w:t>
            </w:r>
          </w:p>
          <w:p w:rsidR="009A0208" w:rsidRDefault="009A0208" w:rsidP="001063C8">
            <w:pPr>
              <w:ind w:left="-250"/>
              <w:jc w:val="center"/>
              <w:rPr>
                <w:rFonts w:ascii="Times Sakha" w:hAnsi="Times Sakha"/>
                <w:b/>
              </w:rPr>
            </w:pPr>
          </w:p>
        </w:tc>
      </w:tr>
    </w:tbl>
    <w:p w:rsidR="009A0208" w:rsidRDefault="001063C8" w:rsidP="009A0208">
      <w:r>
        <w:rPr>
          <w:noProof/>
        </w:rPr>
        <w:pict>
          <v:line id="_x0000_s1027" style="position:absolute;z-index:251658240;mso-position-horizontal-relative:text;mso-position-vertical-relative:text" from="-19.05pt,10.35pt" to="477.75pt,10.35pt" o:allowincell="f" strokeweight="4.5pt">
            <v:stroke linestyle="thinThick"/>
          </v:line>
        </w:pict>
      </w:r>
      <w:r>
        <w:rPr>
          <w:noProof/>
        </w:rPr>
        <w:pict>
          <v:line id="_x0000_s1026" style="position:absolute;z-index:251657216;mso-position-horizontal-relative:text;mso-position-vertical-relative:text" from="-19.05pt,4pt" to="477.75pt,4pt" o:allowincell="f"/>
        </w:pict>
      </w:r>
    </w:p>
    <w:p w:rsidR="00535AAB" w:rsidRDefault="00535AAB" w:rsidP="009A0208">
      <w:pPr>
        <w:pStyle w:val="2"/>
        <w:spacing w:line="360" w:lineRule="auto"/>
        <w:ind w:left="0" w:firstLine="0"/>
        <w:outlineLvl w:val="0"/>
        <w:rPr>
          <w:sz w:val="28"/>
          <w:szCs w:val="28"/>
        </w:rPr>
      </w:pPr>
    </w:p>
    <w:p w:rsidR="009A0208" w:rsidRPr="003D6FB3" w:rsidRDefault="009A0208" w:rsidP="009A0208">
      <w:pPr>
        <w:pStyle w:val="2"/>
        <w:spacing w:line="360" w:lineRule="auto"/>
        <w:ind w:left="0" w:firstLine="0"/>
        <w:outlineLvl w:val="0"/>
        <w:rPr>
          <w:sz w:val="28"/>
          <w:szCs w:val="28"/>
        </w:rPr>
      </w:pPr>
      <w:r w:rsidRPr="003D6FB3">
        <w:rPr>
          <w:sz w:val="28"/>
          <w:szCs w:val="28"/>
        </w:rPr>
        <w:t>ПОСТАНОВЛЕНИЕ</w:t>
      </w:r>
    </w:p>
    <w:p w:rsidR="009A0208" w:rsidRDefault="009A0208" w:rsidP="009A0208"/>
    <w:p w:rsidR="00B17FD5" w:rsidRPr="00D86527" w:rsidRDefault="00B17FD5" w:rsidP="00B17FD5">
      <w:pPr>
        <w:jc w:val="center"/>
        <w:rPr>
          <w:sz w:val="24"/>
          <w:szCs w:val="24"/>
        </w:rPr>
      </w:pPr>
      <w:r>
        <w:rPr>
          <w:sz w:val="24"/>
          <w:szCs w:val="24"/>
        </w:rPr>
        <w:t>«</w:t>
      </w:r>
      <w:r w:rsidR="00075D05">
        <w:rPr>
          <w:sz w:val="24"/>
          <w:szCs w:val="24"/>
        </w:rPr>
        <w:t xml:space="preserve"> 24 </w:t>
      </w:r>
      <w:r>
        <w:rPr>
          <w:sz w:val="24"/>
          <w:szCs w:val="24"/>
        </w:rPr>
        <w:t xml:space="preserve">» </w:t>
      </w:r>
      <w:r w:rsidR="00075D05">
        <w:rPr>
          <w:sz w:val="24"/>
          <w:szCs w:val="24"/>
        </w:rPr>
        <w:t xml:space="preserve">  мая  </w:t>
      </w:r>
      <w:r>
        <w:rPr>
          <w:sz w:val="24"/>
          <w:szCs w:val="24"/>
        </w:rPr>
        <w:t xml:space="preserve"> 2012</w:t>
      </w:r>
      <w:r w:rsidRPr="00D86527">
        <w:rPr>
          <w:sz w:val="24"/>
          <w:szCs w:val="24"/>
        </w:rPr>
        <w:t xml:space="preserve"> года                                                                                   №</w:t>
      </w:r>
      <w:r w:rsidR="00075D05">
        <w:rPr>
          <w:sz w:val="24"/>
          <w:szCs w:val="24"/>
        </w:rPr>
        <w:t xml:space="preserve"> 51</w:t>
      </w:r>
    </w:p>
    <w:p w:rsidR="009A0208" w:rsidRDefault="009A0208" w:rsidP="009A0208"/>
    <w:p w:rsidR="009A0208" w:rsidRDefault="009A0208" w:rsidP="00144151">
      <w:pPr>
        <w:jc w:val="center"/>
        <w:rPr>
          <w:sz w:val="24"/>
          <w:szCs w:val="24"/>
        </w:rPr>
      </w:pPr>
      <w:r w:rsidRPr="00D86527">
        <w:rPr>
          <w:sz w:val="24"/>
          <w:szCs w:val="24"/>
        </w:rPr>
        <w:t>г. Якутск</w:t>
      </w:r>
    </w:p>
    <w:p w:rsidR="009A0208" w:rsidRPr="0095114A" w:rsidRDefault="009A0208" w:rsidP="00144151">
      <w:pPr>
        <w:jc w:val="center"/>
        <w:rPr>
          <w:sz w:val="27"/>
          <w:szCs w:val="27"/>
        </w:rPr>
      </w:pPr>
    </w:p>
    <w:p w:rsidR="0098322B" w:rsidRPr="0005766F" w:rsidRDefault="00B359A0" w:rsidP="00144151">
      <w:pPr>
        <w:pStyle w:val="ConsPlusTitle"/>
        <w:widowControl/>
        <w:jc w:val="center"/>
        <w:rPr>
          <w:rFonts w:ascii="Times New Roman" w:hAnsi="Times New Roman" w:cs="Times New Roman"/>
          <w:sz w:val="28"/>
          <w:szCs w:val="28"/>
        </w:rPr>
      </w:pPr>
      <w:r w:rsidRPr="0005766F">
        <w:rPr>
          <w:rFonts w:ascii="Times New Roman" w:hAnsi="Times New Roman" w:cs="Times New Roman"/>
          <w:b w:val="0"/>
          <w:sz w:val="28"/>
          <w:szCs w:val="28"/>
        </w:rPr>
        <w:t xml:space="preserve"> </w:t>
      </w:r>
      <w:r w:rsidR="0098322B" w:rsidRPr="0005766F">
        <w:rPr>
          <w:rFonts w:ascii="Times New Roman" w:hAnsi="Times New Roman" w:cs="Times New Roman"/>
          <w:sz w:val="28"/>
          <w:szCs w:val="28"/>
        </w:rPr>
        <w:t>«</w:t>
      </w:r>
      <w:r w:rsidR="0005766F" w:rsidRPr="0005766F">
        <w:rPr>
          <w:rFonts w:ascii="Times New Roman" w:hAnsi="Times New Roman" w:cs="Times New Roman"/>
          <w:sz w:val="28"/>
          <w:szCs w:val="28"/>
        </w:rPr>
        <w:t>Об установлении платы за технологическое присоединение</w:t>
      </w:r>
    </w:p>
    <w:p w:rsidR="009A0208" w:rsidRPr="0005766F" w:rsidRDefault="0005766F" w:rsidP="00144151">
      <w:pPr>
        <w:pStyle w:val="ConsPlusTitle"/>
        <w:widowControl/>
        <w:jc w:val="center"/>
        <w:rPr>
          <w:rFonts w:ascii="Times New Roman" w:hAnsi="Times New Roman" w:cs="Times New Roman"/>
          <w:sz w:val="28"/>
          <w:szCs w:val="28"/>
        </w:rPr>
      </w:pPr>
      <w:r w:rsidRPr="0005766F">
        <w:rPr>
          <w:rFonts w:ascii="Times New Roman" w:hAnsi="Times New Roman" w:cs="Times New Roman"/>
          <w:sz w:val="28"/>
          <w:szCs w:val="28"/>
        </w:rPr>
        <w:t xml:space="preserve"> </w:t>
      </w:r>
      <w:r w:rsidR="0044320F" w:rsidRPr="0044320F">
        <w:rPr>
          <w:rFonts w:ascii="Times New Roman" w:hAnsi="Times New Roman" w:cs="Times New Roman"/>
          <w:sz w:val="28"/>
          <w:szCs w:val="28"/>
        </w:rPr>
        <w:t xml:space="preserve">энергопринимающих устройств заявителей </w:t>
      </w:r>
      <w:r w:rsidR="0044320F">
        <w:rPr>
          <w:rFonts w:ascii="Times New Roman" w:hAnsi="Times New Roman" w:cs="Times New Roman"/>
          <w:sz w:val="28"/>
          <w:szCs w:val="28"/>
        </w:rPr>
        <w:t xml:space="preserve">максимальной </w:t>
      </w:r>
      <w:r w:rsidR="0044320F" w:rsidRPr="0044320F">
        <w:rPr>
          <w:rFonts w:ascii="Times New Roman" w:hAnsi="Times New Roman" w:cs="Times New Roman"/>
          <w:sz w:val="28"/>
          <w:szCs w:val="28"/>
        </w:rPr>
        <w:t>мощностью</w:t>
      </w:r>
      <w:r w:rsidR="0044320F">
        <w:rPr>
          <w:rFonts w:ascii="Times New Roman" w:hAnsi="Times New Roman" w:cs="Times New Roman"/>
          <w:sz w:val="28"/>
          <w:szCs w:val="28"/>
        </w:rPr>
        <w:t>, не превышающей</w:t>
      </w:r>
      <w:r w:rsidRPr="0005766F">
        <w:rPr>
          <w:rFonts w:ascii="Times New Roman" w:hAnsi="Times New Roman" w:cs="Times New Roman"/>
          <w:sz w:val="28"/>
          <w:szCs w:val="28"/>
        </w:rPr>
        <w:t xml:space="preserve"> 15 </w:t>
      </w:r>
      <w:r w:rsidR="0044320F" w:rsidRPr="0005766F">
        <w:rPr>
          <w:rFonts w:ascii="Times New Roman" w:hAnsi="Times New Roman" w:cs="Times New Roman"/>
          <w:sz w:val="28"/>
          <w:szCs w:val="28"/>
        </w:rPr>
        <w:t>кВт</w:t>
      </w:r>
      <w:r w:rsidRPr="0005766F">
        <w:rPr>
          <w:rFonts w:ascii="Times New Roman" w:hAnsi="Times New Roman" w:cs="Times New Roman"/>
          <w:sz w:val="28"/>
          <w:szCs w:val="28"/>
        </w:rPr>
        <w:t xml:space="preserve"> включительно</w:t>
      </w:r>
      <w:r w:rsidR="00144151">
        <w:rPr>
          <w:rFonts w:ascii="Times New Roman" w:hAnsi="Times New Roman" w:cs="Times New Roman"/>
          <w:sz w:val="28"/>
          <w:szCs w:val="28"/>
        </w:rPr>
        <w:t>,</w:t>
      </w:r>
      <w:r w:rsidRPr="0005766F">
        <w:rPr>
          <w:rFonts w:ascii="Times New Roman" w:hAnsi="Times New Roman" w:cs="Times New Roman"/>
          <w:sz w:val="28"/>
          <w:szCs w:val="28"/>
        </w:rPr>
        <w:t xml:space="preserve"> к электрическим сетям </w:t>
      </w:r>
      <w:r w:rsidR="0044320F">
        <w:rPr>
          <w:rFonts w:ascii="Times New Roman" w:hAnsi="Times New Roman" w:cs="Times New Roman"/>
          <w:sz w:val="28"/>
          <w:szCs w:val="28"/>
        </w:rPr>
        <w:t xml:space="preserve">сетевых организаций </w:t>
      </w:r>
      <w:r w:rsidRPr="0005766F">
        <w:rPr>
          <w:rFonts w:ascii="Times New Roman" w:hAnsi="Times New Roman" w:cs="Times New Roman"/>
          <w:sz w:val="28"/>
          <w:szCs w:val="28"/>
        </w:rPr>
        <w:t xml:space="preserve">на территории </w:t>
      </w:r>
      <w:r w:rsidR="0098322B" w:rsidRPr="0005766F">
        <w:rPr>
          <w:rFonts w:ascii="Times New Roman" w:hAnsi="Times New Roman" w:cs="Times New Roman"/>
          <w:sz w:val="28"/>
          <w:szCs w:val="28"/>
        </w:rPr>
        <w:t>Р</w:t>
      </w:r>
      <w:r w:rsidRPr="0005766F">
        <w:rPr>
          <w:rFonts w:ascii="Times New Roman" w:hAnsi="Times New Roman" w:cs="Times New Roman"/>
          <w:sz w:val="28"/>
          <w:szCs w:val="28"/>
        </w:rPr>
        <w:t>еспублики</w:t>
      </w:r>
      <w:r w:rsidR="0098322B" w:rsidRPr="0005766F">
        <w:rPr>
          <w:rFonts w:ascii="Times New Roman" w:hAnsi="Times New Roman" w:cs="Times New Roman"/>
          <w:sz w:val="28"/>
          <w:szCs w:val="28"/>
        </w:rPr>
        <w:t xml:space="preserve"> </w:t>
      </w:r>
      <w:r w:rsidRPr="0005766F">
        <w:rPr>
          <w:rFonts w:ascii="Times New Roman" w:hAnsi="Times New Roman" w:cs="Times New Roman"/>
          <w:sz w:val="28"/>
          <w:szCs w:val="28"/>
        </w:rPr>
        <w:t>Саха</w:t>
      </w:r>
      <w:r w:rsidR="0098322B" w:rsidRPr="0005766F">
        <w:rPr>
          <w:rFonts w:ascii="Times New Roman" w:hAnsi="Times New Roman" w:cs="Times New Roman"/>
          <w:sz w:val="28"/>
          <w:szCs w:val="28"/>
        </w:rPr>
        <w:t xml:space="preserve"> (Я</w:t>
      </w:r>
      <w:r w:rsidRPr="0005766F">
        <w:rPr>
          <w:rFonts w:ascii="Times New Roman" w:hAnsi="Times New Roman" w:cs="Times New Roman"/>
          <w:sz w:val="28"/>
          <w:szCs w:val="28"/>
        </w:rPr>
        <w:t>кутия</w:t>
      </w:r>
      <w:r w:rsidR="0098322B" w:rsidRPr="0005766F">
        <w:rPr>
          <w:rFonts w:ascii="Times New Roman" w:hAnsi="Times New Roman" w:cs="Times New Roman"/>
          <w:sz w:val="28"/>
          <w:szCs w:val="28"/>
        </w:rPr>
        <w:t>)»</w:t>
      </w:r>
    </w:p>
    <w:p w:rsidR="009A0208" w:rsidRDefault="009A0208" w:rsidP="00144151">
      <w:pPr>
        <w:pStyle w:val="a3"/>
        <w:spacing w:line="240" w:lineRule="auto"/>
        <w:ind w:left="0" w:right="0" w:firstLine="709"/>
        <w:jc w:val="center"/>
        <w:rPr>
          <w:b/>
          <w:sz w:val="28"/>
          <w:szCs w:val="28"/>
        </w:rPr>
      </w:pPr>
    </w:p>
    <w:p w:rsidR="009A0208" w:rsidRPr="00F727EB" w:rsidRDefault="009A0208" w:rsidP="00C50B2F">
      <w:pPr>
        <w:spacing w:line="264" w:lineRule="auto"/>
        <w:ind w:firstLine="709"/>
        <w:jc w:val="both"/>
        <w:rPr>
          <w:sz w:val="28"/>
          <w:szCs w:val="28"/>
        </w:rPr>
      </w:pPr>
      <w:r w:rsidRPr="00F727EB">
        <w:rPr>
          <w:sz w:val="28"/>
          <w:szCs w:val="28"/>
        </w:rPr>
        <w:t>В соответствии с Правил</w:t>
      </w:r>
      <w:r>
        <w:rPr>
          <w:sz w:val="28"/>
          <w:szCs w:val="28"/>
        </w:rPr>
        <w:t>ами</w:t>
      </w:r>
      <w:r w:rsidRPr="00F727EB">
        <w:rPr>
          <w:sz w:val="28"/>
          <w:szCs w:val="28"/>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Pr>
          <w:sz w:val="28"/>
          <w:szCs w:val="28"/>
        </w:rPr>
        <w:t>от 27.12.2004</w:t>
      </w:r>
      <w:r w:rsidR="0044320F">
        <w:rPr>
          <w:sz w:val="28"/>
          <w:szCs w:val="28"/>
        </w:rPr>
        <w:t xml:space="preserve"> </w:t>
      </w:r>
      <w:r>
        <w:rPr>
          <w:sz w:val="28"/>
          <w:szCs w:val="28"/>
        </w:rPr>
        <w:t xml:space="preserve"> № 861 и </w:t>
      </w:r>
      <w:r w:rsidRPr="00F727EB">
        <w:rPr>
          <w:sz w:val="28"/>
          <w:szCs w:val="28"/>
        </w:rPr>
        <w:t>приказом Федеральной службы по тарифам РФ от 30.11.2010</w:t>
      </w:r>
      <w:r w:rsidR="00144151">
        <w:rPr>
          <w:sz w:val="28"/>
          <w:szCs w:val="28"/>
        </w:rPr>
        <w:t xml:space="preserve"> </w:t>
      </w:r>
      <w:r w:rsidRPr="00F727EB">
        <w:rPr>
          <w:sz w:val="28"/>
          <w:szCs w:val="28"/>
        </w:rPr>
        <w:t xml:space="preserve">г. № 365-э/5 «Об утверждении Методических указаний по определению размера платы за технологическое присоединение к электрическим сетям», рассмотрев представленные материалы Правление Государственного комитета по ценовой политике – Региональной энергетической комиссии Республики Саха (Якутия) </w:t>
      </w:r>
      <w:r w:rsidRPr="00F727EB">
        <w:rPr>
          <w:b/>
          <w:sz w:val="28"/>
          <w:szCs w:val="28"/>
        </w:rPr>
        <w:t>постановляет:</w:t>
      </w:r>
    </w:p>
    <w:p w:rsidR="009A0208" w:rsidRPr="00F727EB" w:rsidRDefault="009A0208" w:rsidP="00C50B2F">
      <w:pPr>
        <w:pStyle w:val="a3"/>
        <w:spacing w:line="264" w:lineRule="auto"/>
        <w:ind w:left="0" w:right="0" w:firstLine="851"/>
        <w:jc w:val="center"/>
        <w:rPr>
          <w:b/>
          <w:sz w:val="28"/>
          <w:szCs w:val="28"/>
        </w:rPr>
      </w:pPr>
    </w:p>
    <w:p w:rsidR="00941D1B" w:rsidRPr="00941D1B" w:rsidRDefault="00941D1B" w:rsidP="00C50B2F">
      <w:pPr>
        <w:autoSpaceDE w:val="0"/>
        <w:autoSpaceDN w:val="0"/>
        <w:adjustRightInd w:val="0"/>
        <w:spacing w:line="264" w:lineRule="auto"/>
        <w:ind w:firstLine="709"/>
        <w:jc w:val="both"/>
        <w:rPr>
          <w:sz w:val="28"/>
          <w:szCs w:val="28"/>
        </w:rPr>
      </w:pPr>
      <w:r w:rsidRPr="00941D1B">
        <w:rPr>
          <w:sz w:val="28"/>
          <w:szCs w:val="28"/>
        </w:rPr>
        <w:t xml:space="preserve">1. Установить плату за технологическое присоединение </w:t>
      </w:r>
      <w:r w:rsidR="00BE21B9">
        <w:rPr>
          <w:sz w:val="28"/>
          <w:szCs w:val="28"/>
        </w:rPr>
        <w:t xml:space="preserve">энергопринимающих устройств </w:t>
      </w:r>
      <w:r w:rsidRPr="00941D1B">
        <w:rPr>
          <w:sz w:val="28"/>
          <w:szCs w:val="28"/>
        </w:rPr>
        <w:t>заявителей</w:t>
      </w:r>
      <w:r w:rsidR="00BE21B9">
        <w:rPr>
          <w:sz w:val="28"/>
          <w:szCs w:val="28"/>
        </w:rPr>
        <w:t xml:space="preserve"> </w:t>
      </w:r>
      <w:r w:rsidR="0044320F">
        <w:rPr>
          <w:sz w:val="28"/>
          <w:szCs w:val="28"/>
        </w:rPr>
        <w:t xml:space="preserve">максимальной </w:t>
      </w:r>
      <w:r w:rsidR="00BE21B9">
        <w:rPr>
          <w:sz w:val="28"/>
          <w:szCs w:val="28"/>
        </w:rPr>
        <w:t>мощностью</w:t>
      </w:r>
      <w:r w:rsidR="0044320F">
        <w:rPr>
          <w:sz w:val="28"/>
          <w:szCs w:val="28"/>
        </w:rPr>
        <w:t>, не превышающей</w:t>
      </w:r>
      <w:r w:rsidRPr="00941D1B">
        <w:rPr>
          <w:sz w:val="28"/>
          <w:szCs w:val="28"/>
        </w:rPr>
        <w:t xml:space="preserve"> 15 кВт включительно</w:t>
      </w:r>
      <w:r w:rsidR="00144151">
        <w:rPr>
          <w:sz w:val="28"/>
          <w:szCs w:val="28"/>
        </w:rPr>
        <w:t>,</w:t>
      </w:r>
      <w:r w:rsidRPr="00941D1B">
        <w:rPr>
          <w:sz w:val="28"/>
          <w:szCs w:val="28"/>
        </w:rPr>
        <w:t xml:space="preserve"> к электрическим сетям </w:t>
      </w:r>
      <w:r w:rsidR="00144151">
        <w:rPr>
          <w:sz w:val="28"/>
          <w:szCs w:val="28"/>
        </w:rPr>
        <w:t xml:space="preserve">сетевых организаций </w:t>
      </w:r>
      <w:r w:rsidRPr="00941D1B">
        <w:rPr>
          <w:sz w:val="28"/>
          <w:szCs w:val="28"/>
        </w:rPr>
        <w:t xml:space="preserve">на территории </w:t>
      </w:r>
      <w:r w:rsidR="0005766F">
        <w:rPr>
          <w:sz w:val="28"/>
          <w:szCs w:val="28"/>
        </w:rPr>
        <w:t>Р</w:t>
      </w:r>
      <w:r w:rsidRPr="00941D1B">
        <w:rPr>
          <w:sz w:val="28"/>
          <w:szCs w:val="28"/>
        </w:rPr>
        <w:t xml:space="preserve">еспублики </w:t>
      </w:r>
      <w:r w:rsidR="0005766F">
        <w:rPr>
          <w:sz w:val="28"/>
          <w:szCs w:val="28"/>
        </w:rPr>
        <w:t>С</w:t>
      </w:r>
      <w:r w:rsidRPr="00941D1B">
        <w:rPr>
          <w:sz w:val="28"/>
          <w:szCs w:val="28"/>
        </w:rPr>
        <w:t>аха (</w:t>
      </w:r>
      <w:r w:rsidR="0005766F">
        <w:rPr>
          <w:sz w:val="28"/>
          <w:szCs w:val="28"/>
        </w:rPr>
        <w:t>Я</w:t>
      </w:r>
      <w:r w:rsidRPr="00941D1B">
        <w:rPr>
          <w:sz w:val="28"/>
          <w:szCs w:val="28"/>
        </w:rPr>
        <w:t>кутия</w:t>
      </w:r>
      <w:r w:rsidR="0005766F">
        <w:rPr>
          <w:sz w:val="28"/>
          <w:szCs w:val="28"/>
        </w:rPr>
        <w:t>)</w:t>
      </w:r>
      <w:r w:rsidRPr="00941D1B">
        <w:rPr>
          <w:sz w:val="28"/>
          <w:szCs w:val="28"/>
        </w:rPr>
        <w:t xml:space="preserve"> на 2012 год </w:t>
      </w:r>
      <w:r w:rsidRPr="00144151">
        <w:rPr>
          <w:sz w:val="28"/>
          <w:szCs w:val="28"/>
        </w:rPr>
        <w:t xml:space="preserve">согласно </w:t>
      </w:r>
      <w:hyperlink r:id="rId6" w:history="1">
        <w:r w:rsidRPr="00144151">
          <w:rPr>
            <w:sz w:val="28"/>
            <w:szCs w:val="28"/>
          </w:rPr>
          <w:t>приложению</w:t>
        </w:r>
        <w:r w:rsidRPr="00941D1B">
          <w:rPr>
            <w:color w:val="0000FF"/>
            <w:sz w:val="28"/>
            <w:szCs w:val="28"/>
          </w:rPr>
          <w:t xml:space="preserve"> </w:t>
        </w:r>
      </w:hyperlink>
      <w:r w:rsidRPr="00941D1B">
        <w:rPr>
          <w:sz w:val="28"/>
          <w:szCs w:val="28"/>
        </w:rPr>
        <w:t>к настоящему п</w:t>
      </w:r>
      <w:r>
        <w:rPr>
          <w:sz w:val="28"/>
          <w:szCs w:val="28"/>
        </w:rPr>
        <w:t>остановлению</w:t>
      </w:r>
      <w:r w:rsidRPr="00941D1B">
        <w:rPr>
          <w:sz w:val="28"/>
          <w:szCs w:val="28"/>
        </w:rPr>
        <w:t>.</w:t>
      </w:r>
    </w:p>
    <w:p w:rsidR="00BE21B9" w:rsidRDefault="00BE21B9" w:rsidP="00C50B2F">
      <w:pPr>
        <w:autoSpaceDE w:val="0"/>
        <w:autoSpaceDN w:val="0"/>
        <w:adjustRightInd w:val="0"/>
        <w:spacing w:line="264" w:lineRule="auto"/>
        <w:ind w:firstLine="709"/>
        <w:jc w:val="both"/>
        <w:rPr>
          <w:sz w:val="28"/>
          <w:szCs w:val="28"/>
        </w:rPr>
      </w:pPr>
      <w:r>
        <w:rPr>
          <w:sz w:val="28"/>
          <w:szCs w:val="28"/>
        </w:rPr>
        <w:t>2.</w:t>
      </w:r>
      <w:r w:rsidR="0044320F">
        <w:rPr>
          <w:sz w:val="28"/>
          <w:szCs w:val="28"/>
        </w:rPr>
        <w:t xml:space="preserve"> </w:t>
      </w:r>
      <w:r>
        <w:rPr>
          <w:sz w:val="28"/>
          <w:szCs w:val="28"/>
        </w:rPr>
        <w:t xml:space="preserve">Признать утратившим силу </w:t>
      </w:r>
      <w:r>
        <w:rPr>
          <w:bCs/>
          <w:sz w:val="28"/>
          <w:szCs w:val="28"/>
        </w:rPr>
        <w:t>постановлени</w:t>
      </w:r>
      <w:r w:rsidR="0044320F">
        <w:rPr>
          <w:bCs/>
          <w:sz w:val="28"/>
          <w:szCs w:val="28"/>
        </w:rPr>
        <w:t>е</w:t>
      </w:r>
      <w:r>
        <w:rPr>
          <w:bCs/>
          <w:sz w:val="28"/>
          <w:szCs w:val="28"/>
        </w:rPr>
        <w:t xml:space="preserve"> Правления ГКЦ – РЭК РС (Я) от 05.03.2012 № 17 </w:t>
      </w:r>
      <w:r w:rsidRPr="00B359A0">
        <w:rPr>
          <w:sz w:val="28"/>
          <w:szCs w:val="28"/>
        </w:rPr>
        <w:t>«Об установлении платы за технологическое присоединение энергопринимающих устройств потребителей электрической энергии к электрическим сетям на территории Республики Саха (Якутия)»</w:t>
      </w:r>
    </w:p>
    <w:p w:rsidR="00941D1B" w:rsidRPr="00941D1B" w:rsidRDefault="00BE21B9" w:rsidP="00C50B2F">
      <w:pPr>
        <w:autoSpaceDE w:val="0"/>
        <w:autoSpaceDN w:val="0"/>
        <w:adjustRightInd w:val="0"/>
        <w:spacing w:line="264" w:lineRule="auto"/>
        <w:ind w:firstLine="709"/>
        <w:jc w:val="both"/>
        <w:rPr>
          <w:sz w:val="28"/>
          <w:szCs w:val="28"/>
        </w:rPr>
      </w:pPr>
      <w:r>
        <w:rPr>
          <w:sz w:val="28"/>
          <w:szCs w:val="28"/>
        </w:rPr>
        <w:t>3</w:t>
      </w:r>
      <w:r w:rsidR="0005766F">
        <w:rPr>
          <w:sz w:val="28"/>
          <w:szCs w:val="28"/>
        </w:rPr>
        <w:t>.</w:t>
      </w:r>
      <w:r w:rsidR="0044320F">
        <w:rPr>
          <w:sz w:val="28"/>
          <w:szCs w:val="28"/>
        </w:rPr>
        <w:t xml:space="preserve"> </w:t>
      </w:r>
      <w:r w:rsidR="00941D1B" w:rsidRPr="00941D1B">
        <w:rPr>
          <w:sz w:val="28"/>
          <w:szCs w:val="28"/>
        </w:rPr>
        <w:t>Настоящ</w:t>
      </w:r>
      <w:r w:rsidR="0044320F">
        <w:rPr>
          <w:sz w:val="28"/>
          <w:szCs w:val="28"/>
        </w:rPr>
        <w:t>е</w:t>
      </w:r>
      <w:r w:rsidR="000D31D0">
        <w:rPr>
          <w:sz w:val="28"/>
          <w:szCs w:val="28"/>
        </w:rPr>
        <w:t>е постановление</w:t>
      </w:r>
      <w:r w:rsidR="00941D1B" w:rsidRPr="00941D1B">
        <w:rPr>
          <w:sz w:val="28"/>
          <w:szCs w:val="28"/>
        </w:rPr>
        <w:t xml:space="preserve"> вступает в силу в порядке, установленном действующим законодательством.</w:t>
      </w:r>
    </w:p>
    <w:p w:rsidR="00144151" w:rsidRDefault="00144151" w:rsidP="00144151">
      <w:pPr>
        <w:pStyle w:val="a7"/>
        <w:jc w:val="center"/>
        <w:rPr>
          <w:b/>
          <w:sz w:val="28"/>
          <w:szCs w:val="28"/>
        </w:rPr>
      </w:pPr>
    </w:p>
    <w:p w:rsidR="00535AAB" w:rsidRDefault="000D31D0" w:rsidP="00144151">
      <w:pPr>
        <w:pStyle w:val="a7"/>
        <w:jc w:val="center"/>
        <w:rPr>
          <w:b/>
          <w:sz w:val="28"/>
          <w:szCs w:val="28"/>
        </w:rPr>
      </w:pPr>
      <w:r>
        <w:rPr>
          <w:b/>
          <w:sz w:val="28"/>
          <w:szCs w:val="28"/>
        </w:rPr>
        <w:t>Председатель</w:t>
      </w:r>
      <w:r w:rsidR="008D7D44" w:rsidRPr="008D7D44">
        <w:rPr>
          <w:b/>
          <w:sz w:val="28"/>
          <w:szCs w:val="28"/>
        </w:rPr>
        <w:t xml:space="preserve">                   </w:t>
      </w:r>
      <w:r w:rsidR="008D7D44">
        <w:rPr>
          <w:b/>
          <w:sz w:val="28"/>
          <w:szCs w:val="28"/>
        </w:rPr>
        <w:t xml:space="preserve">       </w:t>
      </w:r>
      <w:r w:rsidR="008D7D44" w:rsidRPr="008D7D44">
        <w:rPr>
          <w:b/>
          <w:sz w:val="28"/>
          <w:szCs w:val="28"/>
        </w:rPr>
        <w:t xml:space="preserve">                      </w:t>
      </w:r>
      <w:r w:rsidR="008D7D44" w:rsidRPr="008D7D44">
        <w:rPr>
          <w:b/>
          <w:sz w:val="28"/>
          <w:szCs w:val="28"/>
        </w:rPr>
        <w:tab/>
      </w:r>
      <w:r w:rsidR="008D7D44" w:rsidRPr="008D7D44">
        <w:rPr>
          <w:b/>
          <w:sz w:val="28"/>
          <w:szCs w:val="28"/>
        </w:rPr>
        <w:tab/>
        <w:t xml:space="preserve"> </w:t>
      </w:r>
      <w:r>
        <w:rPr>
          <w:b/>
          <w:sz w:val="28"/>
          <w:szCs w:val="28"/>
        </w:rPr>
        <w:t>В</w:t>
      </w:r>
      <w:r w:rsidR="00C56264">
        <w:rPr>
          <w:b/>
          <w:sz w:val="28"/>
          <w:szCs w:val="28"/>
        </w:rPr>
        <w:t xml:space="preserve">. И. </w:t>
      </w:r>
      <w:r>
        <w:rPr>
          <w:b/>
          <w:sz w:val="28"/>
          <w:szCs w:val="28"/>
        </w:rPr>
        <w:t>Лемешева</w:t>
      </w:r>
    </w:p>
    <w:p w:rsidR="00C50B2F" w:rsidRDefault="00C50B2F" w:rsidP="0044320F">
      <w:pPr>
        <w:jc w:val="right"/>
        <w:rPr>
          <w:sz w:val="28"/>
          <w:szCs w:val="28"/>
        </w:rPr>
      </w:pPr>
    </w:p>
    <w:p w:rsidR="00163825" w:rsidRPr="0044320F" w:rsidRDefault="004A4F2A" w:rsidP="0044320F">
      <w:pPr>
        <w:jc w:val="right"/>
        <w:rPr>
          <w:sz w:val="28"/>
          <w:szCs w:val="28"/>
        </w:rPr>
      </w:pPr>
      <w:r w:rsidRPr="0044320F">
        <w:rPr>
          <w:sz w:val="28"/>
          <w:szCs w:val="28"/>
        </w:rPr>
        <w:t>Приложение</w:t>
      </w:r>
    </w:p>
    <w:p w:rsidR="004A4F2A" w:rsidRPr="0044320F" w:rsidRDefault="004A4F2A" w:rsidP="0044320F">
      <w:pPr>
        <w:jc w:val="right"/>
        <w:rPr>
          <w:sz w:val="28"/>
          <w:szCs w:val="28"/>
        </w:rPr>
      </w:pPr>
      <w:r w:rsidRPr="0044320F">
        <w:rPr>
          <w:sz w:val="28"/>
          <w:szCs w:val="28"/>
        </w:rPr>
        <w:t>к постановлению Правления ГКЦ – РЭК РС (Я)</w:t>
      </w:r>
    </w:p>
    <w:p w:rsidR="004A4F2A" w:rsidRPr="0044320F" w:rsidRDefault="004A4F2A" w:rsidP="0044320F">
      <w:pPr>
        <w:jc w:val="right"/>
        <w:rPr>
          <w:sz w:val="28"/>
          <w:szCs w:val="28"/>
        </w:rPr>
      </w:pPr>
      <w:r w:rsidRPr="0044320F">
        <w:rPr>
          <w:sz w:val="28"/>
          <w:szCs w:val="28"/>
        </w:rPr>
        <w:t>от "</w:t>
      </w:r>
      <w:r w:rsidR="00075D05">
        <w:rPr>
          <w:sz w:val="28"/>
          <w:szCs w:val="28"/>
        </w:rPr>
        <w:t>24</w:t>
      </w:r>
      <w:r w:rsidRPr="0044320F">
        <w:rPr>
          <w:sz w:val="28"/>
          <w:szCs w:val="28"/>
        </w:rPr>
        <w:t xml:space="preserve">" </w:t>
      </w:r>
      <w:r w:rsidR="00075D05">
        <w:rPr>
          <w:sz w:val="28"/>
          <w:szCs w:val="28"/>
        </w:rPr>
        <w:t>мая</w:t>
      </w:r>
      <w:r w:rsidRPr="0044320F">
        <w:rPr>
          <w:sz w:val="28"/>
          <w:szCs w:val="28"/>
        </w:rPr>
        <w:t xml:space="preserve"> 2012 г. № </w:t>
      </w:r>
      <w:r w:rsidR="00075D05">
        <w:rPr>
          <w:sz w:val="28"/>
          <w:szCs w:val="28"/>
        </w:rPr>
        <w:t>51</w:t>
      </w:r>
    </w:p>
    <w:p w:rsidR="00163825" w:rsidRPr="0080387D" w:rsidRDefault="00163825" w:rsidP="009A0208">
      <w:pPr>
        <w:pStyle w:val="a4"/>
        <w:ind w:left="0"/>
        <w:jc w:val="both"/>
        <w:rPr>
          <w:bCs/>
          <w:sz w:val="26"/>
          <w:szCs w:val="26"/>
        </w:rPr>
      </w:pPr>
    </w:p>
    <w:p w:rsidR="004A4F2A" w:rsidRPr="0080387D" w:rsidRDefault="004A4F2A" w:rsidP="009A0208">
      <w:pPr>
        <w:pStyle w:val="a4"/>
        <w:ind w:left="0"/>
        <w:jc w:val="both"/>
        <w:rPr>
          <w:bCs/>
          <w:sz w:val="26"/>
          <w:szCs w:val="26"/>
        </w:rPr>
      </w:pPr>
    </w:p>
    <w:p w:rsidR="00606D31" w:rsidRPr="0095114A" w:rsidRDefault="00606D31" w:rsidP="00606D31">
      <w:pPr>
        <w:jc w:val="center"/>
        <w:rPr>
          <w:sz w:val="27"/>
          <w:szCs w:val="27"/>
        </w:rPr>
      </w:pPr>
    </w:p>
    <w:p w:rsidR="00C50B2F" w:rsidRPr="00C50B2F" w:rsidRDefault="00606D31" w:rsidP="00C50B2F">
      <w:pPr>
        <w:pStyle w:val="ConsPlusTitle"/>
        <w:widowControl/>
        <w:jc w:val="center"/>
        <w:rPr>
          <w:rFonts w:ascii="Times New Roman" w:hAnsi="Times New Roman" w:cs="Times New Roman"/>
          <w:sz w:val="28"/>
          <w:szCs w:val="28"/>
        </w:rPr>
      </w:pPr>
      <w:r w:rsidRPr="0098322B">
        <w:rPr>
          <w:rFonts w:ascii="Times New Roman" w:hAnsi="Times New Roman" w:cs="Times New Roman"/>
          <w:b w:val="0"/>
          <w:szCs w:val="28"/>
        </w:rPr>
        <w:t xml:space="preserve"> </w:t>
      </w:r>
      <w:r w:rsidRPr="00C50B2F">
        <w:rPr>
          <w:rFonts w:ascii="Times New Roman" w:hAnsi="Times New Roman" w:cs="Times New Roman"/>
          <w:sz w:val="28"/>
          <w:szCs w:val="28"/>
        </w:rPr>
        <w:t>«</w:t>
      </w:r>
      <w:r w:rsidR="00C50B2F" w:rsidRPr="00C50B2F">
        <w:rPr>
          <w:rFonts w:ascii="Times New Roman" w:hAnsi="Times New Roman" w:cs="Times New Roman"/>
          <w:sz w:val="28"/>
          <w:szCs w:val="28"/>
        </w:rPr>
        <w:t>Размер</w:t>
      </w:r>
      <w:r w:rsidRPr="00C50B2F">
        <w:rPr>
          <w:rFonts w:ascii="Times New Roman" w:hAnsi="Times New Roman" w:cs="Times New Roman"/>
          <w:sz w:val="28"/>
          <w:szCs w:val="28"/>
        </w:rPr>
        <w:t xml:space="preserve"> платы</w:t>
      </w:r>
      <w:r w:rsidR="00C50B2F" w:rsidRPr="00C50B2F">
        <w:rPr>
          <w:rFonts w:ascii="Times New Roman" w:hAnsi="Times New Roman" w:cs="Times New Roman"/>
          <w:sz w:val="28"/>
          <w:szCs w:val="28"/>
        </w:rPr>
        <w:t xml:space="preserve"> за технологическое присоединение</w:t>
      </w:r>
    </w:p>
    <w:p w:rsidR="00C50B2F" w:rsidRPr="00C50B2F" w:rsidRDefault="00C50B2F" w:rsidP="00C50B2F">
      <w:pPr>
        <w:pStyle w:val="ConsPlusTitle"/>
        <w:widowControl/>
        <w:jc w:val="center"/>
        <w:rPr>
          <w:rFonts w:ascii="Times New Roman" w:hAnsi="Times New Roman" w:cs="Times New Roman"/>
          <w:sz w:val="28"/>
          <w:szCs w:val="28"/>
        </w:rPr>
      </w:pPr>
      <w:r w:rsidRPr="00C50B2F">
        <w:rPr>
          <w:rFonts w:ascii="Times New Roman" w:hAnsi="Times New Roman" w:cs="Times New Roman"/>
          <w:sz w:val="28"/>
          <w:szCs w:val="28"/>
        </w:rPr>
        <w:t xml:space="preserve"> энергопринимающих устройств заявителей максимальной мощностью, не превышающей 15 кВт включительно, к электрическим сетям сетевых организаций на территории Республики Саха (Якутия)</w:t>
      </w:r>
      <w:r>
        <w:rPr>
          <w:rFonts w:ascii="Times New Roman" w:hAnsi="Times New Roman" w:cs="Times New Roman"/>
          <w:sz w:val="28"/>
          <w:szCs w:val="28"/>
        </w:rPr>
        <w:t>»</w:t>
      </w:r>
    </w:p>
    <w:p w:rsidR="00C50B2F" w:rsidRDefault="00C50B2F" w:rsidP="00606D31">
      <w:pPr>
        <w:pStyle w:val="ConsPlusTitle"/>
        <w:widowControl/>
        <w:jc w:val="center"/>
        <w:rPr>
          <w:rFonts w:ascii="Times New Roman" w:hAnsi="Times New Roman" w:cs="Times New Roman"/>
          <w:b w:val="0"/>
          <w:sz w:val="28"/>
          <w:szCs w:val="28"/>
        </w:rPr>
      </w:pPr>
    </w:p>
    <w:p w:rsidR="00482628" w:rsidRPr="0080387D" w:rsidRDefault="00482628" w:rsidP="00DA6DD1">
      <w:pPr>
        <w:pStyle w:val="a4"/>
        <w:ind w:left="0"/>
        <w:jc w:val="right"/>
        <w:rPr>
          <w:bCs/>
          <w:i/>
          <w:sz w:val="26"/>
          <w:szCs w:val="26"/>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3"/>
        <w:gridCol w:w="5677"/>
        <w:gridCol w:w="2835"/>
      </w:tblGrid>
      <w:tr w:rsidR="00DA6DD1" w:rsidRPr="0080387D" w:rsidTr="001063C8">
        <w:tc>
          <w:tcPr>
            <w:tcW w:w="569" w:type="pct"/>
            <w:vAlign w:val="center"/>
          </w:tcPr>
          <w:p w:rsidR="00DA6DD1" w:rsidRPr="00C50B2F" w:rsidRDefault="00DA6DD1" w:rsidP="001063C8">
            <w:pPr>
              <w:pStyle w:val="a4"/>
              <w:ind w:left="0"/>
              <w:jc w:val="center"/>
              <w:rPr>
                <w:b/>
                <w:bCs/>
                <w:sz w:val="26"/>
                <w:szCs w:val="26"/>
              </w:rPr>
            </w:pPr>
            <w:r w:rsidRPr="00C50B2F">
              <w:rPr>
                <w:b/>
                <w:bCs/>
                <w:sz w:val="26"/>
                <w:szCs w:val="26"/>
              </w:rPr>
              <w:t>№ п/п</w:t>
            </w:r>
          </w:p>
        </w:tc>
        <w:tc>
          <w:tcPr>
            <w:tcW w:w="2955" w:type="pct"/>
            <w:vAlign w:val="center"/>
          </w:tcPr>
          <w:p w:rsidR="00DA6DD1" w:rsidRPr="00C50B2F" w:rsidRDefault="00DA6DD1" w:rsidP="001063C8">
            <w:pPr>
              <w:pStyle w:val="a4"/>
              <w:ind w:left="0"/>
              <w:jc w:val="center"/>
              <w:rPr>
                <w:b/>
                <w:bCs/>
                <w:sz w:val="26"/>
                <w:szCs w:val="26"/>
              </w:rPr>
            </w:pPr>
            <w:r w:rsidRPr="00C50B2F">
              <w:rPr>
                <w:b/>
                <w:bCs/>
                <w:sz w:val="26"/>
                <w:szCs w:val="26"/>
              </w:rPr>
              <w:t>Группы заявителей</w:t>
            </w:r>
          </w:p>
        </w:tc>
        <w:tc>
          <w:tcPr>
            <w:tcW w:w="1476" w:type="pct"/>
            <w:vAlign w:val="center"/>
          </w:tcPr>
          <w:p w:rsidR="00DA6DD1" w:rsidRPr="00C50B2F" w:rsidRDefault="00DA6DD1" w:rsidP="001063C8">
            <w:pPr>
              <w:pStyle w:val="a4"/>
              <w:ind w:left="0"/>
              <w:jc w:val="center"/>
              <w:rPr>
                <w:b/>
                <w:bCs/>
                <w:sz w:val="26"/>
                <w:szCs w:val="26"/>
              </w:rPr>
            </w:pPr>
            <w:r w:rsidRPr="00C50B2F">
              <w:rPr>
                <w:b/>
                <w:bCs/>
                <w:sz w:val="26"/>
                <w:szCs w:val="26"/>
              </w:rPr>
              <w:t xml:space="preserve">Ставка платы, руб. </w:t>
            </w:r>
          </w:p>
          <w:p w:rsidR="00DA6DD1" w:rsidRPr="00C50B2F" w:rsidRDefault="00DA6DD1" w:rsidP="001063C8">
            <w:pPr>
              <w:pStyle w:val="a4"/>
              <w:ind w:left="0"/>
              <w:jc w:val="center"/>
              <w:rPr>
                <w:b/>
                <w:bCs/>
                <w:sz w:val="26"/>
                <w:szCs w:val="26"/>
              </w:rPr>
            </w:pPr>
            <w:r w:rsidRPr="00C50B2F">
              <w:rPr>
                <w:b/>
                <w:bCs/>
                <w:sz w:val="26"/>
                <w:szCs w:val="26"/>
              </w:rPr>
              <w:t>за 1 присоединение</w:t>
            </w:r>
          </w:p>
        </w:tc>
      </w:tr>
      <w:tr w:rsidR="00DA6DD1" w:rsidRPr="0080387D" w:rsidTr="001063C8">
        <w:tc>
          <w:tcPr>
            <w:tcW w:w="569" w:type="pct"/>
            <w:vAlign w:val="center"/>
          </w:tcPr>
          <w:p w:rsidR="00DA6DD1" w:rsidRPr="0080387D" w:rsidRDefault="00DA6DD1" w:rsidP="001063C8">
            <w:pPr>
              <w:pStyle w:val="a4"/>
              <w:ind w:left="0"/>
              <w:jc w:val="center"/>
              <w:rPr>
                <w:bCs/>
                <w:sz w:val="26"/>
                <w:szCs w:val="26"/>
              </w:rPr>
            </w:pPr>
            <w:r w:rsidRPr="0080387D">
              <w:rPr>
                <w:bCs/>
                <w:sz w:val="26"/>
                <w:szCs w:val="26"/>
              </w:rPr>
              <w:t>1</w:t>
            </w:r>
          </w:p>
        </w:tc>
        <w:tc>
          <w:tcPr>
            <w:tcW w:w="2955" w:type="pct"/>
            <w:vAlign w:val="center"/>
          </w:tcPr>
          <w:p w:rsidR="00DA6DD1" w:rsidRPr="009D3A2D" w:rsidRDefault="009D3A2D" w:rsidP="00A46B5E">
            <w:pPr>
              <w:pStyle w:val="a4"/>
              <w:ind w:left="0"/>
              <w:jc w:val="both"/>
              <w:rPr>
                <w:bCs/>
                <w:sz w:val="26"/>
                <w:szCs w:val="26"/>
              </w:rPr>
            </w:pPr>
            <w:r w:rsidRPr="009D3A2D">
              <w:rPr>
                <w:sz w:val="26"/>
                <w:szCs w:val="26"/>
              </w:rPr>
              <w:t>Заявитель -</w:t>
            </w:r>
            <w:r>
              <w:rPr>
                <w:sz w:val="26"/>
                <w:szCs w:val="26"/>
              </w:rPr>
              <w:t xml:space="preserve"> физическое лицо,</w:t>
            </w:r>
            <w:r w:rsidRPr="009D3A2D">
              <w:rPr>
                <w:sz w:val="26"/>
                <w:szCs w:val="26"/>
              </w:rPr>
              <w:t xml:space="preserve"> подающее </w:t>
            </w:r>
            <w:r>
              <w:rPr>
                <w:sz w:val="26"/>
                <w:szCs w:val="26"/>
              </w:rPr>
              <w:t xml:space="preserve">заявку </w:t>
            </w:r>
            <w:r w:rsidRPr="009D3A2D">
              <w:rPr>
                <w:sz w:val="26"/>
                <w:szCs w:val="26"/>
              </w:rPr>
              <w:t>на</w:t>
            </w:r>
            <w:r>
              <w:rPr>
                <w:sz w:val="26"/>
                <w:szCs w:val="26"/>
              </w:rPr>
              <w:t xml:space="preserve"> </w:t>
            </w:r>
            <w:r w:rsidRPr="009D3A2D">
              <w:rPr>
                <w:sz w:val="26"/>
                <w:szCs w:val="26"/>
              </w:rPr>
              <w:t>технологическое присоединение энергопринимающих</w:t>
            </w:r>
            <w:r>
              <w:rPr>
                <w:sz w:val="26"/>
                <w:szCs w:val="26"/>
              </w:rPr>
              <w:t xml:space="preserve"> </w:t>
            </w:r>
            <w:r w:rsidRPr="009D3A2D">
              <w:rPr>
                <w:sz w:val="26"/>
                <w:szCs w:val="26"/>
              </w:rPr>
              <w:t>устройств при условии, что расстояние от границ участка</w:t>
            </w:r>
            <w:r w:rsidRPr="009D3A2D">
              <w:rPr>
                <w:sz w:val="26"/>
                <w:szCs w:val="26"/>
              </w:rPr>
              <w:br/>
              <w:t>заявителя до</w:t>
            </w:r>
            <w:r>
              <w:rPr>
                <w:sz w:val="26"/>
                <w:szCs w:val="26"/>
              </w:rPr>
              <w:t xml:space="preserve"> объектов </w:t>
            </w:r>
            <w:r w:rsidRPr="009D3A2D">
              <w:rPr>
                <w:sz w:val="26"/>
                <w:szCs w:val="26"/>
              </w:rPr>
              <w:t>электросетевого хозяйства</w:t>
            </w:r>
            <w:r>
              <w:rPr>
                <w:sz w:val="26"/>
                <w:szCs w:val="26"/>
              </w:rPr>
              <w:t xml:space="preserve"> </w:t>
            </w:r>
            <w:r w:rsidRPr="009D3A2D">
              <w:rPr>
                <w:sz w:val="26"/>
                <w:szCs w:val="26"/>
              </w:rPr>
              <w:t>необходимого заявителю класса напряжения сетевой</w:t>
            </w:r>
            <w:r>
              <w:rPr>
                <w:sz w:val="26"/>
                <w:szCs w:val="26"/>
              </w:rPr>
              <w:t xml:space="preserve"> </w:t>
            </w:r>
            <w:r w:rsidRPr="009D3A2D">
              <w:rPr>
                <w:sz w:val="26"/>
                <w:szCs w:val="26"/>
              </w:rPr>
              <w:t>организации, в которую подана заявка, составляет не</w:t>
            </w:r>
            <w:r>
              <w:rPr>
                <w:sz w:val="26"/>
                <w:szCs w:val="26"/>
              </w:rPr>
              <w:t xml:space="preserve"> </w:t>
            </w:r>
            <w:r w:rsidRPr="009D3A2D">
              <w:rPr>
                <w:sz w:val="26"/>
                <w:szCs w:val="26"/>
              </w:rPr>
              <w:t xml:space="preserve">более 300 метров в городах и поселках </w:t>
            </w:r>
            <w:r>
              <w:rPr>
                <w:sz w:val="26"/>
                <w:szCs w:val="26"/>
              </w:rPr>
              <w:t xml:space="preserve">городского типа </w:t>
            </w:r>
            <w:r w:rsidRPr="009D3A2D">
              <w:rPr>
                <w:sz w:val="26"/>
                <w:szCs w:val="26"/>
              </w:rPr>
              <w:t xml:space="preserve">и не более 500 метров в сельской местности &lt;*&gt;            </w:t>
            </w:r>
          </w:p>
        </w:tc>
        <w:tc>
          <w:tcPr>
            <w:tcW w:w="1476" w:type="pct"/>
            <w:vAlign w:val="center"/>
          </w:tcPr>
          <w:p w:rsidR="00DA6DD1" w:rsidRDefault="00CA50AB" w:rsidP="001063C8">
            <w:pPr>
              <w:pStyle w:val="a4"/>
              <w:ind w:left="0"/>
              <w:jc w:val="center"/>
              <w:rPr>
                <w:bCs/>
                <w:sz w:val="26"/>
                <w:szCs w:val="26"/>
              </w:rPr>
            </w:pPr>
            <w:r w:rsidRPr="0080387D">
              <w:rPr>
                <w:bCs/>
                <w:sz w:val="26"/>
                <w:szCs w:val="26"/>
              </w:rPr>
              <w:t>550</w:t>
            </w:r>
          </w:p>
          <w:p w:rsidR="009D3A2D" w:rsidRPr="0080387D" w:rsidRDefault="009D3A2D" w:rsidP="001063C8">
            <w:pPr>
              <w:pStyle w:val="a4"/>
              <w:ind w:left="0"/>
              <w:jc w:val="center"/>
              <w:rPr>
                <w:bCs/>
                <w:sz w:val="26"/>
                <w:szCs w:val="26"/>
              </w:rPr>
            </w:pPr>
            <w:r>
              <w:rPr>
                <w:bCs/>
                <w:sz w:val="26"/>
                <w:szCs w:val="26"/>
              </w:rPr>
              <w:t>(с учетом НДС)</w:t>
            </w:r>
          </w:p>
        </w:tc>
      </w:tr>
      <w:tr w:rsidR="00DA6DD1" w:rsidRPr="0080387D" w:rsidTr="001063C8">
        <w:tc>
          <w:tcPr>
            <w:tcW w:w="569" w:type="pct"/>
            <w:vAlign w:val="center"/>
          </w:tcPr>
          <w:p w:rsidR="00DA6DD1" w:rsidRPr="0080387D" w:rsidRDefault="00CA50AB" w:rsidP="001063C8">
            <w:pPr>
              <w:pStyle w:val="a4"/>
              <w:ind w:left="0"/>
              <w:jc w:val="center"/>
              <w:rPr>
                <w:bCs/>
                <w:sz w:val="26"/>
                <w:szCs w:val="26"/>
              </w:rPr>
            </w:pPr>
            <w:r w:rsidRPr="0080387D">
              <w:rPr>
                <w:bCs/>
                <w:sz w:val="26"/>
                <w:szCs w:val="26"/>
              </w:rPr>
              <w:t>2</w:t>
            </w:r>
          </w:p>
        </w:tc>
        <w:tc>
          <w:tcPr>
            <w:tcW w:w="2955" w:type="pct"/>
            <w:vAlign w:val="center"/>
          </w:tcPr>
          <w:p w:rsidR="00DA6DD1" w:rsidRPr="009D3A2D" w:rsidRDefault="009D3A2D" w:rsidP="009D3A2D">
            <w:pPr>
              <w:pStyle w:val="a4"/>
              <w:ind w:left="0"/>
              <w:jc w:val="both"/>
              <w:rPr>
                <w:bCs/>
                <w:sz w:val="26"/>
                <w:szCs w:val="26"/>
              </w:rPr>
            </w:pPr>
            <w:r w:rsidRPr="009D3A2D">
              <w:rPr>
                <w:sz w:val="26"/>
                <w:szCs w:val="26"/>
              </w:rPr>
              <w:t>Заявитель - юридическое лицо, не являющееся плательщиком</w:t>
            </w:r>
            <w:r>
              <w:rPr>
                <w:sz w:val="26"/>
                <w:szCs w:val="26"/>
              </w:rPr>
              <w:t xml:space="preserve"> </w:t>
            </w:r>
            <w:r w:rsidRPr="009D3A2D">
              <w:rPr>
                <w:sz w:val="26"/>
                <w:szCs w:val="26"/>
              </w:rPr>
              <w:t>налога на добавленную  стоимость, подающее заявку на</w:t>
            </w:r>
            <w:r>
              <w:rPr>
                <w:sz w:val="26"/>
                <w:szCs w:val="26"/>
              </w:rPr>
              <w:t xml:space="preserve"> </w:t>
            </w:r>
            <w:r w:rsidRPr="009D3A2D">
              <w:rPr>
                <w:sz w:val="26"/>
                <w:szCs w:val="26"/>
              </w:rPr>
              <w:t>технологическое присоединение при условии, что</w:t>
            </w:r>
            <w:r>
              <w:rPr>
                <w:sz w:val="26"/>
                <w:szCs w:val="26"/>
              </w:rPr>
              <w:t xml:space="preserve"> </w:t>
            </w:r>
            <w:r w:rsidRPr="009D3A2D">
              <w:rPr>
                <w:sz w:val="26"/>
                <w:szCs w:val="26"/>
              </w:rPr>
              <w:t>расстояние от границ участка до объектов электросетевого</w:t>
            </w:r>
            <w:r w:rsidRPr="009D3A2D">
              <w:rPr>
                <w:sz w:val="26"/>
                <w:szCs w:val="26"/>
              </w:rPr>
              <w:br/>
              <w:t>хозяйства необходимого заявителю класса   напряжения</w:t>
            </w:r>
            <w:r>
              <w:rPr>
                <w:sz w:val="26"/>
                <w:szCs w:val="26"/>
              </w:rPr>
              <w:t xml:space="preserve"> </w:t>
            </w:r>
            <w:r w:rsidRPr="009D3A2D">
              <w:rPr>
                <w:sz w:val="26"/>
                <w:szCs w:val="26"/>
              </w:rPr>
              <w:t>сетевой организации, в которую подана заявка, составляет</w:t>
            </w:r>
            <w:r>
              <w:rPr>
                <w:sz w:val="26"/>
                <w:szCs w:val="26"/>
              </w:rPr>
              <w:t xml:space="preserve"> </w:t>
            </w:r>
            <w:r w:rsidRPr="009D3A2D">
              <w:rPr>
                <w:sz w:val="26"/>
                <w:szCs w:val="26"/>
              </w:rPr>
              <w:t>не более 300 метров в городах и поселках городского типа</w:t>
            </w:r>
            <w:r>
              <w:rPr>
                <w:sz w:val="26"/>
                <w:szCs w:val="26"/>
              </w:rPr>
              <w:t xml:space="preserve"> </w:t>
            </w:r>
            <w:r w:rsidRPr="009D3A2D">
              <w:rPr>
                <w:sz w:val="26"/>
                <w:szCs w:val="26"/>
              </w:rPr>
              <w:t xml:space="preserve">и не более 500 метров в сельской местности &lt;*&gt;          </w:t>
            </w:r>
          </w:p>
        </w:tc>
        <w:tc>
          <w:tcPr>
            <w:tcW w:w="1476" w:type="pct"/>
            <w:vAlign w:val="center"/>
          </w:tcPr>
          <w:p w:rsidR="00DA6DD1" w:rsidRDefault="00CA50AB" w:rsidP="001063C8">
            <w:pPr>
              <w:pStyle w:val="a4"/>
              <w:ind w:left="0"/>
              <w:jc w:val="center"/>
              <w:rPr>
                <w:bCs/>
                <w:sz w:val="26"/>
                <w:szCs w:val="26"/>
              </w:rPr>
            </w:pPr>
            <w:r w:rsidRPr="0080387D">
              <w:rPr>
                <w:bCs/>
                <w:sz w:val="26"/>
                <w:szCs w:val="26"/>
              </w:rPr>
              <w:t>550</w:t>
            </w:r>
          </w:p>
          <w:p w:rsidR="009D3A2D" w:rsidRPr="009D3A2D" w:rsidRDefault="009D3A2D" w:rsidP="001063C8">
            <w:pPr>
              <w:pStyle w:val="a4"/>
              <w:ind w:left="0"/>
              <w:jc w:val="center"/>
              <w:rPr>
                <w:bCs/>
                <w:sz w:val="26"/>
                <w:szCs w:val="26"/>
              </w:rPr>
            </w:pPr>
            <w:r>
              <w:rPr>
                <w:bCs/>
                <w:sz w:val="26"/>
                <w:szCs w:val="26"/>
              </w:rPr>
              <w:t>(с учетом НДС)</w:t>
            </w:r>
          </w:p>
        </w:tc>
      </w:tr>
      <w:tr w:rsidR="00DA6DD1" w:rsidRPr="0080387D" w:rsidTr="001063C8">
        <w:tc>
          <w:tcPr>
            <w:tcW w:w="569" w:type="pct"/>
            <w:vAlign w:val="center"/>
          </w:tcPr>
          <w:p w:rsidR="00DA6DD1" w:rsidRPr="0080387D" w:rsidRDefault="00CA50AB" w:rsidP="001063C8">
            <w:pPr>
              <w:pStyle w:val="a4"/>
              <w:ind w:left="0"/>
              <w:jc w:val="center"/>
              <w:rPr>
                <w:bCs/>
                <w:sz w:val="26"/>
                <w:szCs w:val="26"/>
              </w:rPr>
            </w:pPr>
            <w:r w:rsidRPr="0080387D">
              <w:rPr>
                <w:bCs/>
                <w:sz w:val="26"/>
                <w:szCs w:val="26"/>
              </w:rPr>
              <w:t>3</w:t>
            </w:r>
          </w:p>
        </w:tc>
        <w:tc>
          <w:tcPr>
            <w:tcW w:w="2955" w:type="pct"/>
            <w:vAlign w:val="center"/>
          </w:tcPr>
          <w:p w:rsidR="005E4C97" w:rsidRPr="009D3A2D" w:rsidRDefault="009D3A2D" w:rsidP="00005038">
            <w:pPr>
              <w:autoSpaceDE w:val="0"/>
              <w:autoSpaceDN w:val="0"/>
              <w:adjustRightInd w:val="0"/>
              <w:jc w:val="both"/>
              <w:outlineLvl w:val="1"/>
              <w:rPr>
                <w:bCs/>
                <w:sz w:val="26"/>
                <w:szCs w:val="26"/>
              </w:rPr>
            </w:pPr>
            <w:r>
              <w:rPr>
                <w:sz w:val="26"/>
                <w:szCs w:val="26"/>
              </w:rPr>
              <w:t xml:space="preserve">Заявитель - юридическое  лицо, </w:t>
            </w:r>
            <w:r w:rsidRPr="009D3A2D">
              <w:rPr>
                <w:sz w:val="26"/>
                <w:szCs w:val="26"/>
              </w:rPr>
              <w:t>являющееся  плательщиком</w:t>
            </w:r>
            <w:r>
              <w:rPr>
                <w:sz w:val="26"/>
                <w:szCs w:val="26"/>
              </w:rPr>
              <w:t xml:space="preserve"> налога на добавленную  стоимость, подающее заявку </w:t>
            </w:r>
            <w:r w:rsidRPr="009D3A2D">
              <w:rPr>
                <w:sz w:val="26"/>
                <w:szCs w:val="26"/>
              </w:rPr>
              <w:t>на</w:t>
            </w:r>
            <w:r>
              <w:rPr>
                <w:sz w:val="26"/>
                <w:szCs w:val="26"/>
              </w:rPr>
              <w:t xml:space="preserve"> </w:t>
            </w:r>
            <w:r w:rsidRPr="009D3A2D">
              <w:rPr>
                <w:sz w:val="26"/>
                <w:szCs w:val="26"/>
              </w:rPr>
              <w:t>технологическое присоединение</w:t>
            </w:r>
            <w:r>
              <w:rPr>
                <w:sz w:val="26"/>
                <w:szCs w:val="26"/>
              </w:rPr>
              <w:t xml:space="preserve"> при </w:t>
            </w:r>
            <w:r w:rsidRPr="009D3A2D">
              <w:rPr>
                <w:sz w:val="26"/>
                <w:szCs w:val="26"/>
              </w:rPr>
              <w:t>условии, что</w:t>
            </w:r>
            <w:r>
              <w:rPr>
                <w:sz w:val="26"/>
                <w:szCs w:val="26"/>
              </w:rPr>
              <w:t xml:space="preserve"> </w:t>
            </w:r>
            <w:r w:rsidRPr="009D3A2D">
              <w:rPr>
                <w:sz w:val="26"/>
                <w:szCs w:val="26"/>
              </w:rPr>
              <w:t>расстояние от границ участка заявителя до объектов</w:t>
            </w:r>
            <w:r>
              <w:rPr>
                <w:sz w:val="26"/>
                <w:szCs w:val="26"/>
              </w:rPr>
              <w:t xml:space="preserve"> </w:t>
            </w:r>
            <w:r w:rsidRPr="009D3A2D">
              <w:rPr>
                <w:sz w:val="26"/>
                <w:szCs w:val="26"/>
              </w:rPr>
              <w:t>электросетевого хозяйства необходимого заявителю класса</w:t>
            </w:r>
            <w:r>
              <w:rPr>
                <w:sz w:val="26"/>
                <w:szCs w:val="26"/>
              </w:rPr>
              <w:t xml:space="preserve"> </w:t>
            </w:r>
            <w:r w:rsidRPr="009D3A2D">
              <w:rPr>
                <w:sz w:val="26"/>
                <w:szCs w:val="26"/>
              </w:rPr>
              <w:t>напряжения сетевой организации, в которую подана заявка,</w:t>
            </w:r>
            <w:r>
              <w:rPr>
                <w:sz w:val="26"/>
                <w:szCs w:val="26"/>
              </w:rPr>
              <w:t xml:space="preserve"> </w:t>
            </w:r>
            <w:r w:rsidRPr="009D3A2D">
              <w:rPr>
                <w:sz w:val="26"/>
                <w:szCs w:val="26"/>
              </w:rPr>
              <w:t>составляет не более 300 метров в городах и поселках</w:t>
            </w:r>
            <w:r>
              <w:rPr>
                <w:sz w:val="26"/>
                <w:szCs w:val="26"/>
              </w:rPr>
              <w:t xml:space="preserve"> </w:t>
            </w:r>
            <w:r w:rsidRPr="009D3A2D">
              <w:rPr>
                <w:sz w:val="26"/>
                <w:szCs w:val="26"/>
              </w:rPr>
              <w:t>городского типа и не более 500 метров в  сельской</w:t>
            </w:r>
            <w:r>
              <w:rPr>
                <w:sz w:val="26"/>
                <w:szCs w:val="26"/>
              </w:rPr>
              <w:t xml:space="preserve"> </w:t>
            </w:r>
            <w:r w:rsidRPr="009D3A2D">
              <w:rPr>
                <w:sz w:val="26"/>
                <w:szCs w:val="26"/>
              </w:rPr>
              <w:t xml:space="preserve">местности &lt;*&gt; </w:t>
            </w:r>
          </w:p>
        </w:tc>
        <w:tc>
          <w:tcPr>
            <w:tcW w:w="1476" w:type="pct"/>
            <w:vAlign w:val="center"/>
          </w:tcPr>
          <w:p w:rsidR="009D3A2D" w:rsidRDefault="009D3A2D" w:rsidP="001063C8">
            <w:pPr>
              <w:pStyle w:val="a4"/>
              <w:ind w:left="0"/>
              <w:jc w:val="center"/>
              <w:rPr>
                <w:bCs/>
                <w:sz w:val="26"/>
                <w:szCs w:val="26"/>
              </w:rPr>
            </w:pPr>
            <w:r>
              <w:rPr>
                <w:bCs/>
                <w:sz w:val="26"/>
                <w:szCs w:val="26"/>
              </w:rPr>
              <w:t>466,10</w:t>
            </w:r>
          </w:p>
          <w:p w:rsidR="00DA6DD1" w:rsidRPr="0080387D" w:rsidRDefault="009D3A2D" w:rsidP="00606D31">
            <w:pPr>
              <w:pStyle w:val="a4"/>
              <w:ind w:left="0"/>
              <w:jc w:val="center"/>
              <w:rPr>
                <w:bCs/>
                <w:sz w:val="26"/>
                <w:szCs w:val="26"/>
              </w:rPr>
            </w:pPr>
            <w:r>
              <w:rPr>
                <w:bCs/>
                <w:sz w:val="26"/>
                <w:szCs w:val="26"/>
              </w:rPr>
              <w:t>(без учет</w:t>
            </w:r>
            <w:r w:rsidR="00606D31">
              <w:rPr>
                <w:bCs/>
                <w:sz w:val="26"/>
                <w:szCs w:val="26"/>
              </w:rPr>
              <w:t>а</w:t>
            </w:r>
            <w:r>
              <w:rPr>
                <w:bCs/>
                <w:sz w:val="26"/>
                <w:szCs w:val="26"/>
              </w:rPr>
              <w:t xml:space="preserve"> НДС)</w:t>
            </w:r>
          </w:p>
        </w:tc>
      </w:tr>
    </w:tbl>
    <w:p w:rsidR="00163825" w:rsidRDefault="00163825" w:rsidP="00C94591">
      <w:pPr>
        <w:pStyle w:val="a4"/>
        <w:ind w:left="0"/>
        <w:jc w:val="both"/>
        <w:rPr>
          <w:bCs/>
          <w:sz w:val="24"/>
          <w:szCs w:val="24"/>
        </w:rPr>
      </w:pPr>
    </w:p>
    <w:p w:rsidR="00C50B2F" w:rsidRDefault="00C50B2F" w:rsidP="00C94591">
      <w:pPr>
        <w:pStyle w:val="a4"/>
        <w:ind w:left="0"/>
        <w:jc w:val="both"/>
        <w:rPr>
          <w:bCs/>
          <w:sz w:val="24"/>
          <w:szCs w:val="24"/>
        </w:rPr>
      </w:pPr>
    </w:p>
    <w:p w:rsidR="009D3A2D" w:rsidRPr="00144151" w:rsidRDefault="00C50B2F" w:rsidP="00144151">
      <w:pPr>
        <w:autoSpaceDE w:val="0"/>
        <w:autoSpaceDN w:val="0"/>
        <w:adjustRightInd w:val="0"/>
        <w:ind w:firstLine="709"/>
        <w:jc w:val="both"/>
        <w:rPr>
          <w:sz w:val="24"/>
          <w:szCs w:val="24"/>
        </w:rPr>
      </w:pPr>
      <w:r w:rsidRPr="009D3A2D">
        <w:rPr>
          <w:sz w:val="26"/>
          <w:szCs w:val="26"/>
        </w:rPr>
        <w:lastRenderedPageBreak/>
        <w:t>&lt;*&gt;</w:t>
      </w:r>
      <w:r>
        <w:rPr>
          <w:sz w:val="26"/>
          <w:szCs w:val="26"/>
        </w:rPr>
        <w:t xml:space="preserve"> </w:t>
      </w:r>
      <w:r w:rsidR="009D3A2D" w:rsidRPr="00144151">
        <w:rPr>
          <w:sz w:val="24"/>
          <w:szCs w:val="24"/>
        </w:rPr>
        <w:t xml:space="preserve">В соответствии с </w:t>
      </w:r>
      <w:hyperlink r:id="rId7" w:history="1">
        <w:r w:rsidR="009D3A2D" w:rsidRPr="006C70BE">
          <w:rPr>
            <w:b/>
            <w:color w:val="0000FF"/>
            <w:sz w:val="24"/>
            <w:szCs w:val="24"/>
          </w:rPr>
          <w:t>п</w:t>
        </w:r>
        <w:r w:rsidR="006C70BE">
          <w:rPr>
            <w:b/>
            <w:color w:val="0000FF"/>
            <w:sz w:val="24"/>
            <w:szCs w:val="24"/>
          </w:rPr>
          <w:t>унктом</w:t>
        </w:r>
        <w:r w:rsidR="009D3A2D" w:rsidRPr="006C70BE">
          <w:rPr>
            <w:b/>
            <w:color w:val="0000FF"/>
            <w:sz w:val="24"/>
            <w:szCs w:val="24"/>
          </w:rPr>
          <w:t xml:space="preserve"> 14</w:t>
        </w:r>
      </w:hyperlink>
      <w:r w:rsidR="009D3A2D" w:rsidRPr="00144151">
        <w:rPr>
          <w:sz w:val="24"/>
          <w:szCs w:val="24"/>
        </w:rPr>
        <w:t xml:space="preserve"> Методических указаний по определению размера платы за технологическое присоединение к электрическим сетям (утверждены Приказом ФСТ России от 30.11.2010 N 365-э/5): Заявитель, подающий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оплачивает работы, указанные в </w:t>
      </w:r>
      <w:hyperlink r:id="rId8" w:history="1">
        <w:r w:rsidR="009D3A2D" w:rsidRPr="00144151">
          <w:rPr>
            <w:color w:val="0000FF"/>
            <w:sz w:val="24"/>
            <w:szCs w:val="24"/>
          </w:rPr>
          <w:t>пункте 12</w:t>
        </w:r>
      </w:hyperlink>
      <w:r w:rsidR="009D3A2D" w:rsidRPr="00144151">
        <w:rPr>
          <w:sz w:val="24"/>
          <w:szCs w:val="24"/>
        </w:rPr>
        <w:t xml:space="preserve"> Методических указаний, в объеме, не превышающем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D3A2D" w:rsidRPr="00144151" w:rsidRDefault="009D3A2D" w:rsidP="00144151">
      <w:pPr>
        <w:autoSpaceDE w:val="0"/>
        <w:autoSpaceDN w:val="0"/>
        <w:adjustRightInd w:val="0"/>
        <w:ind w:firstLine="709"/>
        <w:jc w:val="both"/>
        <w:rPr>
          <w:sz w:val="24"/>
          <w:szCs w:val="24"/>
        </w:rPr>
      </w:pPr>
      <w:r w:rsidRPr="00144151">
        <w:rPr>
          <w:sz w:val="24"/>
          <w:szCs w:val="24"/>
        </w:rPr>
        <w:t xml:space="preserve">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класс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9" w:history="1">
        <w:r w:rsidRPr="00144151">
          <w:rPr>
            <w:color w:val="0000FF"/>
            <w:sz w:val="24"/>
            <w:szCs w:val="24"/>
          </w:rPr>
          <w:t>подпунктом "б" пункта 16</w:t>
        </w:r>
      </w:hyperlink>
      <w:r w:rsidRPr="00144151">
        <w:rPr>
          <w:sz w:val="24"/>
          <w:szCs w:val="24"/>
        </w:rPr>
        <w:t xml:space="preserve"> Правил</w:t>
      </w:r>
      <w:r w:rsidR="00144151">
        <w:rPr>
          <w:sz w:val="24"/>
          <w:szCs w:val="24"/>
        </w:rPr>
        <w:t xml:space="preserve"> т</w:t>
      </w:r>
      <w:r w:rsidR="00144151">
        <w:rPr>
          <w:rFonts w:eastAsia="Calibri"/>
          <w:sz w:val="24"/>
          <w:szCs w:val="24"/>
        </w:rPr>
        <w:t>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w:t>
      </w:r>
      <w:r w:rsidRPr="00144151">
        <w:rPr>
          <w:sz w:val="24"/>
          <w:szCs w:val="24"/>
        </w:rPr>
        <w:t>.</w:t>
      </w:r>
    </w:p>
    <w:p w:rsidR="009D3A2D" w:rsidRPr="00144151" w:rsidRDefault="009D3A2D" w:rsidP="00144151">
      <w:pPr>
        <w:autoSpaceDE w:val="0"/>
        <w:autoSpaceDN w:val="0"/>
        <w:adjustRightInd w:val="0"/>
        <w:ind w:firstLine="709"/>
        <w:jc w:val="both"/>
        <w:rPr>
          <w:sz w:val="24"/>
          <w:szCs w:val="24"/>
        </w:rPr>
      </w:pPr>
      <w:r w:rsidRPr="00144151">
        <w:rPr>
          <w:sz w:val="24"/>
          <w:szCs w:val="24"/>
        </w:rPr>
        <w:t xml:space="preserve">В случае если с учетом последующего увеличения присоединяемой мощности ранее присоединенного Устройства присоединяемая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r:id="rId10" w:history="1">
        <w:r w:rsidRPr="00144151">
          <w:rPr>
            <w:color w:val="0000FF"/>
            <w:sz w:val="24"/>
            <w:szCs w:val="24"/>
          </w:rPr>
          <w:t>разделом III</w:t>
        </w:r>
      </w:hyperlink>
      <w:r w:rsidRPr="00144151">
        <w:rPr>
          <w:sz w:val="24"/>
          <w:szCs w:val="24"/>
        </w:rPr>
        <w:t xml:space="preserve"> Методических указаний.</w:t>
      </w:r>
    </w:p>
    <w:p w:rsidR="009D3A2D" w:rsidRPr="00144151" w:rsidRDefault="009D3A2D" w:rsidP="00144151">
      <w:pPr>
        <w:autoSpaceDE w:val="0"/>
        <w:autoSpaceDN w:val="0"/>
        <w:adjustRightInd w:val="0"/>
        <w:ind w:firstLine="709"/>
        <w:jc w:val="both"/>
        <w:rPr>
          <w:sz w:val="24"/>
          <w:szCs w:val="24"/>
        </w:rPr>
      </w:pPr>
      <w:r w:rsidRPr="00144151">
        <w:rPr>
          <w:sz w:val="24"/>
          <w:szCs w:val="24"/>
        </w:rPr>
        <w:t>Если Заявителем на технологическое присоединение выступает юридическое лицо - некоммерческая организация для поставки электроэнергии гражданам - членам этой организации, рассчитывающимся по общему счетчику на вводе, плата Заявителя сетевой организации не должна превышать 550 рублей, умноженных на количество членов (абонентов) этой организации, при условии присоединения каждым членом этой организации не более 15 кВт.</w:t>
      </w:r>
    </w:p>
    <w:p w:rsidR="009D3A2D" w:rsidRPr="00144151" w:rsidRDefault="009D3A2D" w:rsidP="00144151">
      <w:pPr>
        <w:autoSpaceDE w:val="0"/>
        <w:autoSpaceDN w:val="0"/>
        <w:adjustRightInd w:val="0"/>
        <w:ind w:firstLine="709"/>
        <w:jc w:val="both"/>
        <w:rPr>
          <w:sz w:val="24"/>
          <w:szCs w:val="24"/>
        </w:rPr>
      </w:pPr>
      <w:r w:rsidRPr="00144151">
        <w:rPr>
          <w:sz w:val="24"/>
          <w:szCs w:val="24"/>
        </w:rPr>
        <w:t>К юридическим лицам - некоммерческим организациям, на которых распространяется вышеуказанная плата, относятся:</w:t>
      </w:r>
    </w:p>
    <w:p w:rsidR="009D3A2D" w:rsidRPr="00144151" w:rsidRDefault="009D3A2D" w:rsidP="00144151">
      <w:pPr>
        <w:autoSpaceDE w:val="0"/>
        <w:autoSpaceDN w:val="0"/>
        <w:adjustRightInd w:val="0"/>
        <w:ind w:firstLine="709"/>
        <w:jc w:val="both"/>
        <w:rPr>
          <w:sz w:val="24"/>
          <w:szCs w:val="24"/>
        </w:rPr>
      </w:pPr>
      <w:r w:rsidRPr="00144151">
        <w:rPr>
          <w:sz w:val="24"/>
          <w:szCs w:val="24"/>
        </w:rPr>
        <w:t>- садоводческие, огороднические или дачные некоммерческие объединения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9D3A2D" w:rsidRPr="00144151" w:rsidRDefault="009D3A2D" w:rsidP="00144151">
      <w:pPr>
        <w:autoSpaceDE w:val="0"/>
        <w:autoSpaceDN w:val="0"/>
        <w:adjustRightInd w:val="0"/>
        <w:ind w:firstLine="709"/>
        <w:jc w:val="both"/>
        <w:rPr>
          <w:sz w:val="24"/>
          <w:szCs w:val="24"/>
        </w:rPr>
      </w:pPr>
      <w:r w:rsidRPr="00144151">
        <w:rPr>
          <w:sz w:val="24"/>
          <w:szCs w:val="24"/>
        </w:rPr>
        <w:t>- содержащиеся за счет прихожан религиозные организации;</w:t>
      </w:r>
    </w:p>
    <w:p w:rsidR="009D3A2D" w:rsidRDefault="009D3A2D" w:rsidP="00144151">
      <w:pPr>
        <w:autoSpaceDE w:val="0"/>
        <w:autoSpaceDN w:val="0"/>
        <w:adjustRightInd w:val="0"/>
        <w:ind w:firstLine="709"/>
        <w:jc w:val="both"/>
        <w:rPr>
          <w:sz w:val="24"/>
          <w:szCs w:val="24"/>
        </w:rPr>
      </w:pPr>
      <w:r w:rsidRPr="00144151">
        <w:rPr>
          <w:sz w:val="24"/>
          <w:szCs w:val="24"/>
        </w:rPr>
        <w:t>- объединенные хозяйственные постройки граждан (погреба, сараи и иные сооружения аналогичного назначения).</w:t>
      </w:r>
    </w:p>
    <w:p w:rsidR="006C70BE" w:rsidRPr="006C70BE" w:rsidRDefault="006C70BE" w:rsidP="006C70BE">
      <w:pPr>
        <w:autoSpaceDE w:val="0"/>
        <w:autoSpaceDN w:val="0"/>
        <w:adjustRightInd w:val="0"/>
        <w:ind w:firstLine="540"/>
        <w:jc w:val="both"/>
        <w:outlineLvl w:val="1"/>
        <w:rPr>
          <w:rFonts w:eastAsia="Calibri"/>
          <w:sz w:val="24"/>
          <w:szCs w:val="24"/>
        </w:rPr>
      </w:pPr>
      <w:r>
        <w:rPr>
          <w:rFonts w:eastAsia="Calibri"/>
          <w:sz w:val="24"/>
          <w:szCs w:val="24"/>
        </w:rPr>
        <w:t xml:space="preserve">  </w:t>
      </w:r>
      <w:r w:rsidRPr="006C70BE">
        <w:rPr>
          <w:rFonts w:eastAsia="Calibri"/>
          <w:sz w:val="24"/>
          <w:szCs w:val="24"/>
        </w:rPr>
        <w:t>Заявитель, подающий заявку в целях временного (</w:t>
      </w:r>
      <w:r w:rsidRPr="006C70BE">
        <w:rPr>
          <w:rFonts w:eastAsia="Calibri"/>
          <w:b/>
          <w:sz w:val="24"/>
          <w:szCs w:val="24"/>
        </w:rPr>
        <w:t>на срок не более 6 месяцев</w:t>
      </w:r>
      <w:r w:rsidRPr="006C70BE">
        <w:rPr>
          <w:rFonts w:eastAsia="Calibri"/>
          <w:sz w:val="24"/>
          <w:szCs w:val="24"/>
        </w:rPr>
        <w:t>)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w:t>
      </w:r>
      <w:r>
        <w:rPr>
          <w:rFonts w:eastAsia="Calibri"/>
          <w:sz w:val="24"/>
          <w:szCs w:val="24"/>
        </w:rPr>
        <w:t xml:space="preserve"> </w:t>
      </w:r>
      <w:r w:rsidRPr="006C70BE">
        <w:rPr>
          <w:rFonts w:eastAsia="Calibri"/>
          <w:sz w:val="24"/>
          <w:szCs w:val="24"/>
        </w:rPr>
        <w:t xml:space="preserve">до 15 кВт включительно (с учетом ранее присоединенной в данной точке присоединения мощности), оплачивает работы в соответствии с </w:t>
      </w:r>
      <w:hyperlink r:id="rId11" w:history="1">
        <w:r w:rsidRPr="006C70BE">
          <w:rPr>
            <w:rFonts w:eastAsia="Calibri"/>
            <w:b/>
            <w:color w:val="0000FF"/>
            <w:sz w:val="24"/>
            <w:szCs w:val="24"/>
          </w:rPr>
          <w:t>пунктом 14</w:t>
        </w:r>
      </w:hyperlink>
      <w:r>
        <w:rPr>
          <w:rFonts w:eastAsia="Calibri"/>
          <w:sz w:val="24"/>
          <w:szCs w:val="24"/>
        </w:rPr>
        <w:t xml:space="preserve"> Методических указаний.</w:t>
      </w:r>
    </w:p>
    <w:p w:rsidR="008572D1" w:rsidRPr="00BE21B9" w:rsidRDefault="008572D1" w:rsidP="00C94591">
      <w:pPr>
        <w:pStyle w:val="a4"/>
        <w:ind w:left="0"/>
        <w:jc w:val="both"/>
        <w:rPr>
          <w:bCs/>
          <w:sz w:val="24"/>
          <w:szCs w:val="24"/>
        </w:rPr>
      </w:pPr>
    </w:p>
    <w:sectPr w:rsidR="008572D1" w:rsidRPr="00BE21B9" w:rsidSect="00C50B2F">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Sakha">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6E8F"/>
    <w:multiLevelType w:val="hybridMultilevel"/>
    <w:tmpl w:val="BD2A79B2"/>
    <w:lvl w:ilvl="0" w:tplc="21643B4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72088"/>
    <w:multiLevelType w:val="multilevel"/>
    <w:tmpl w:val="6B0C240C"/>
    <w:lvl w:ilvl="0">
      <w:start w:val="1"/>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0208"/>
    <w:rsid w:val="00005038"/>
    <w:rsid w:val="0005766F"/>
    <w:rsid w:val="00075D05"/>
    <w:rsid w:val="000D31D0"/>
    <w:rsid w:val="000E0311"/>
    <w:rsid w:val="001063C8"/>
    <w:rsid w:val="00144151"/>
    <w:rsid w:val="00163825"/>
    <w:rsid w:val="00187F1E"/>
    <w:rsid w:val="001B3DCB"/>
    <w:rsid w:val="00200FF2"/>
    <w:rsid w:val="00216416"/>
    <w:rsid w:val="00291BF6"/>
    <w:rsid w:val="0030589A"/>
    <w:rsid w:val="00394988"/>
    <w:rsid w:val="003A2B88"/>
    <w:rsid w:val="003A5EDB"/>
    <w:rsid w:val="0044320F"/>
    <w:rsid w:val="00482628"/>
    <w:rsid w:val="004A4F2A"/>
    <w:rsid w:val="004C6575"/>
    <w:rsid w:val="005218E9"/>
    <w:rsid w:val="00535AAB"/>
    <w:rsid w:val="005434B0"/>
    <w:rsid w:val="005B28EE"/>
    <w:rsid w:val="005E4C97"/>
    <w:rsid w:val="005F1D90"/>
    <w:rsid w:val="00606D31"/>
    <w:rsid w:val="006C70BE"/>
    <w:rsid w:val="007306C3"/>
    <w:rsid w:val="007A7D9A"/>
    <w:rsid w:val="0080387D"/>
    <w:rsid w:val="00812A41"/>
    <w:rsid w:val="00825DAC"/>
    <w:rsid w:val="008572D1"/>
    <w:rsid w:val="008D7D44"/>
    <w:rsid w:val="008E23AF"/>
    <w:rsid w:val="00901A9E"/>
    <w:rsid w:val="00941D1B"/>
    <w:rsid w:val="00951289"/>
    <w:rsid w:val="00956E68"/>
    <w:rsid w:val="0098322B"/>
    <w:rsid w:val="009A0208"/>
    <w:rsid w:val="009A6D4A"/>
    <w:rsid w:val="009C5489"/>
    <w:rsid w:val="009D3A2D"/>
    <w:rsid w:val="009E2EE8"/>
    <w:rsid w:val="00A46B5E"/>
    <w:rsid w:val="00B17FD5"/>
    <w:rsid w:val="00B359A0"/>
    <w:rsid w:val="00B45739"/>
    <w:rsid w:val="00B70EC6"/>
    <w:rsid w:val="00B82CF8"/>
    <w:rsid w:val="00BA487A"/>
    <w:rsid w:val="00BC6BC0"/>
    <w:rsid w:val="00BE21B9"/>
    <w:rsid w:val="00C20B0E"/>
    <w:rsid w:val="00C422DA"/>
    <w:rsid w:val="00C50B2F"/>
    <w:rsid w:val="00C51C38"/>
    <w:rsid w:val="00C56264"/>
    <w:rsid w:val="00C56D84"/>
    <w:rsid w:val="00C94591"/>
    <w:rsid w:val="00CA50AB"/>
    <w:rsid w:val="00D00A12"/>
    <w:rsid w:val="00D46C69"/>
    <w:rsid w:val="00DA6DD1"/>
    <w:rsid w:val="00DB73ED"/>
    <w:rsid w:val="00E10768"/>
    <w:rsid w:val="00EC6032"/>
    <w:rsid w:val="00F16B12"/>
    <w:rsid w:val="00F20BF7"/>
    <w:rsid w:val="00F51F4A"/>
    <w:rsid w:val="00F62021"/>
    <w:rsid w:val="00F65A03"/>
    <w:rsid w:val="00FF6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208"/>
    <w:rPr>
      <w:rFonts w:ascii="Times New Roman" w:eastAsia="Times New Roman" w:hAnsi="Times New Roman"/>
    </w:rPr>
  </w:style>
  <w:style w:type="paragraph" w:styleId="1">
    <w:name w:val="heading 1"/>
    <w:basedOn w:val="a"/>
    <w:next w:val="a"/>
    <w:link w:val="10"/>
    <w:qFormat/>
    <w:rsid w:val="009A0208"/>
    <w:pPr>
      <w:keepNext/>
      <w:outlineLvl w:val="0"/>
    </w:pPr>
    <w:rPr>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A0208"/>
    <w:rPr>
      <w:rFonts w:ascii="Times New Roman" w:eastAsia="Times New Roman" w:hAnsi="Times New Roman" w:cs="Times New Roman"/>
      <w:sz w:val="24"/>
      <w:szCs w:val="20"/>
      <w:lang w:eastAsia="ru-RU"/>
    </w:rPr>
  </w:style>
  <w:style w:type="paragraph" w:styleId="a3">
    <w:name w:val="Block Text"/>
    <w:basedOn w:val="a"/>
    <w:rsid w:val="009A0208"/>
    <w:pPr>
      <w:spacing w:line="360" w:lineRule="auto"/>
      <w:ind w:left="284" w:right="282" w:firstLine="567"/>
      <w:jc w:val="both"/>
    </w:pPr>
    <w:rPr>
      <w:sz w:val="24"/>
    </w:rPr>
  </w:style>
  <w:style w:type="paragraph" w:styleId="2">
    <w:name w:val="Body Text Indent 2"/>
    <w:basedOn w:val="a"/>
    <w:link w:val="20"/>
    <w:rsid w:val="009A0208"/>
    <w:pPr>
      <w:ind w:left="851" w:firstLine="142"/>
      <w:jc w:val="center"/>
    </w:pPr>
    <w:rPr>
      <w:b/>
      <w:sz w:val="24"/>
      <w:szCs w:val="24"/>
      <w:lang/>
    </w:rPr>
  </w:style>
  <w:style w:type="character" w:customStyle="1" w:styleId="20">
    <w:name w:val="Основной текст с отступом 2 Знак"/>
    <w:link w:val="2"/>
    <w:rsid w:val="009A0208"/>
    <w:rPr>
      <w:rFonts w:ascii="Times New Roman" w:eastAsia="Times New Roman" w:hAnsi="Times New Roman" w:cs="Times New Roman"/>
      <w:b/>
      <w:sz w:val="24"/>
      <w:szCs w:val="24"/>
      <w:lang w:eastAsia="ru-RU"/>
    </w:rPr>
  </w:style>
  <w:style w:type="paragraph" w:styleId="21">
    <w:name w:val="Body Text 2"/>
    <w:basedOn w:val="a"/>
    <w:link w:val="22"/>
    <w:rsid w:val="009A0208"/>
    <w:rPr>
      <w:sz w:val="28"/>
      <w:lang/>
    </w:rPr>
  </w:style>
  <w:style w:type="character" w:customStyle="1" w:styleId="22">
    <w:name w:val="Основной текст 2 Знак"/>
    <w:link w:val="21"/>
    <w:rsid w:val="009A0208"/>
    <w:rPr>
      <w:rFonts w:ascii="Times New Roman" w:eastAsia="Times New Roman" w:hAnsi="Times New Roman" w:cs="Times New Roman"/>
      <w:sz w:val="28"/>
      <w:szCs w:val="20"/>
      <w:lang w:eastAsia="ru-RU"/>
    </w:rPr>
  </w:style>
  <w:style w:type="paragraph" w:styleId="a4">
    <w:name w:val="List Paragraph"/>
    <w:basedOn w:val="a"/>
    <w:uiPriority w:val="34"/>
    <w:qFormat/>
    <w:rsid w:val="009A0208"/>
    <w:pPr>
      <w:ind w:left="720"/>
      <w:contextualSpacing/>
    </w:pPr>
  </w:style>
  <w:style w:type="paragraph" w:styleId="a5">
    <w:name w:val="Balloon Text"/>
    <w:basedOn w:val="a"/>
    <w:link w:val="a6"/>
    <w:uiPriority w:val="99"/>
    <w:semiHidden/>
    <w:unhideWhenUsed/>
    <w:rsid w:val="009A0208"/>
    <w:rPr>
      <w:rFonts w:ascii="Tahoma" w:hAnsi="Tahoma"/>
      <w:sz w:val="16"/>
      <w:szCs w:val="16"/>
      <w:lang/>
    </w:rPr>
  </w:style>
  <w:style w:type="character" w:customStyle="1" w:styleId="a6">
    <w:name w:val="Текст выноски Знак"/>
    <w:link w:val="a5"/>
    <w:uiPriority w:val="99"/>
    <w:semiHidden/>
    <w:rsid w:val="009A0208"/>
    <w:rPr>
      <w:rFonts w:ascii="Tahoma" w:eastAsia="Times New Roman" w:hAnsi="Tahoma" w:cs="Tahoma"/>
      <w:sz w:val="16"/>
      <w:szCs w:val="16"/>
      <w:lang w:eastAsia="ru-RU"/>
    </w:rPr>
  </w:style>
  <w:style w:type="paragraph" w:styleId="a7">
    <w:name w:val="Body Text Indent"/>
    <w:basedOn w:val="a"/>
    <w:link w:val="a8"/>
    <w:uiPriority w:val="99"/>
    <w:unhideWhenUsed/>
    <w:rsid w:val="008D7D44"/>
    <w:pPr>
      <w:spacing w:after="120"/>
      <w:ind w:left="283"/>
    </w:pPr>
    <w:rPr>
      <w:lang/>
    </w:rPr>
  </w:style>
  <w:style w:type="character" w:customStyle="1" w:styleId="a8">
    <w:name w:val="Основной текст с отступом Знак"/>
    <w:link w:val="a7"/>
    <w:uiPriority w:val="99"/>
    <w:rsid w:val="008D7D44"/>
    <w:rPr>
      <w:rFonts w:ascii="Times New Roman" w:eastAsia="Times New Roman" w:hAnsi="Times New Roman" w:cs="Times New Roman"/>
      <w:sz w:val="20"/>
      <w:szCs w:val="20"/>
      <w:lang w:eastAsia="ru-RU"/>
    </w:rPr>
  </w:style>
  <w:style w:type="table" w:styleId="a9">
    <w:name w:val="Table Grid"/>
    <w:basedOn w:val="a1"/>
    <w:uiPriority w:val="59"/>
    <w:rsid w:val="00DA6D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CA50AB"/>
    <w:pPr>
      <w:autoSpaceDE w:val="0"/>
      <w:autoSpaceDN w:val="0"/>
      <w:adjustRightInd w:val="0"/>
    </w:pPr>
    <w:rPr>
      <w:rFonts w:ascii="Arial" w:hAnsi="Arial" w:cs="Arial"/>
      <w:lang w:eastAsia="en-US"/>
    </w:rPr>
  </w:style>
  <w:style w:type="character" w:styleId="aa">
    <w:name w:val="Placeholder Text"/>
    <w:uiPriority w:val="99"/>
    <w:semiHidden/>
    <w:rsid w:val="00CA50AB"/>
    <w:rPr>
      <w:color w:val="808080"/>
    </w:rPr>
  </w:style>
  <w:style w:type="paragraph" w:customStyle="1" w:styleId="ConsPlusTitle">
    <w:name w:val="ConsPlusTitle"/>
    <w:uiPriority w:val="99"/>
    <w:rsid w:val="0098322B"/>
    <w:pPr>
      <w:widowControl w:val="0"/>
      <w:autoSpaceDE w:val="0"/>
      <w:autoSpaceDN w:val="0"/>
      <w:adjustRightInd w:val="0"/>
    </w:pPr>
    <w:rPr>
      <w:rFonts w:eastAsia="Times New Roman"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CC3D4487B93DD8C74A46074AE3CB8E0E7AF3ABFC19BC09406E4A0873D523ACF5EB36D2BF556B4AY1z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DCC3D4487B93DD8C74A46074AE3CB8E0E7AF3ABFC19BC09406E4A0873D523ACF5EB36D2BF556B4BY1z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DCC3D4487B93DD8C74A580A5C8F91830B70A4A7FA17BE5A1431115524DC29FBB2A46F90FB586A4E1F6A4AY6z0A" TargetMode="External"/><Relationship Id="rId11" Type="http://schemas.openxmlformats.org/officeDocument/2006/relationships/hyperlink" Target="consultantplus://offline/ref=44E48B01CFB1BA6B85662FC0F3B06FFC3C77B3EE56123E25B1E45D3808056E8A440F1FB74C1454B9T5O2F" TargetMode="External"/><Relationship Id="rId5" Type="http://schemas.openxmlformats.org/officeDocument/2006/relationships/image" Target="media/image1.png"/><Relationship Id="rId10" Type="http://schemas.openxmlformats.org/officeDocument/2006/relationships/hyperlink" Target="consultantplus://offline/ref=CDCC3D4487B93DD8C74A46074AE3CB8E0E7AF3ABFC19BC09406E4A0873D523ACF5EB36D2BF556B48Y1z6A" TargetMode="External"/><Relationship Id="rId4" Type="http://schemas.openxmlformats.org/officeDocument/2006/relationships/webSettings" Target="webSettings.xml"/><Relationship Id="rId9" Type="http://schemas.openxmlformats.org/officeDocument/2006/relationships/hyperlink" Target="consultantplus://offline/ref=CDCC3D4487B93DD8C74A46074AE3CB8E0E79FFABFC14BC09406E4A0873D523ACF5EB36D2BF55634CY1z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8301</CharactersWithSpaces>
  <SharedDoc>false</SharedDoc>
  <HLinks>
    <vt:vector size="36" baseType="variant">
      <vt:variant>
        <vt:i4>3276909</vt:i4>
      </vt:variant>
      <vt:variant>
        <vt:i4>15</vt:i4>
      </vt:variant>
      <vt:variant>
        <vt:i4>0</vt:i4>
      </vt:variant>
      <vt:variant>
        <vt:i4>5</vt:i4>
      </vt:variant>
      <vt:variant>
        <vt:lpwstr>consultantplus://offline/ref=44E48B01CFB1BA6B85662FC0F3B06FFC3C77B3EE56123E25B1E45D3808056E8A440F1FB74C1454B9T5O2F</vt:lpwstr>
      </vt:variant>
      <vt:variant>
        <vt:lpwstr/>
      </vt:variant>
      <vt:variant>
        <vt:i4>7798836</vt:i4>
      </vt:variant>
      <vt:variant>
        <vt:i4>12</vt:i4>
      </vt:variant>
      <vt:variant>
        <vt:i4>0</vt:i4>
      </vt:variant>
      <vt:variant>
        <vt:i4>5</vt:i4>
      </vt:variant>
      <vt:variant>
        <vt:lpwstr>consultantplus://offline/ref=CDCC3D4487B93DD8C74A46074AE3CB8E0E7AF3ABFC19BC09406E4A0873D523ACF5EB36D2BF556B48Y1z6A</vt:lpwstr>
      </vt:variant>
      <vt:variant>
        <vt:lpwstr/>
      </vt:variant>
      <vt:variant>
        <vt:i4>7798890</vt:i4>
      </vt:variant>
      <vt:variant>
        <vt:i4>9</vt:i4>
      </vt:variant>
      <vt:variant>
        <vt:i4>0</vt:i4>
      </vt:variant>
      <vt:variant>
        <vt:i4>5</vt:i4>
      </vt:variant>
      <vt:variant>
        <vt:lpwstr>consultantplus://offline/ref=CDCC3D4487B93DD8C74A46074AE3CB8E0E79FFABFC14BC09406E4A0873D523ACF5EB36D2BF55634CY1zBA</vt:lpwstr>
      </vt:variant>
      <vt:variant>
        <vt:lpwstr/>
      </vt:variant>
      <vt:variant>
        <vt:i4>7798840</vt:i4>
      </vt:variant>
      <vt:variant>
        <vt:i4>6</vt:i4>
      </vt:variant>
      <vt:variant>
        <vt:i4>0</vt:i4>
      </vt:variant>
      <vt:variant>
        <vt:i4>5</vt:i4>
      </vt:variant>
      <vt:variant>
        <vt:lpwstr>consultantplus://offline/ref=CDCC3D4487B93DD8C74A46074AE3CB8E0E7AF3ABFC19BC09406E4A0873D523ACF5EB36D2BF556B4AY1zCA</vt:lpwstr>
      </vt:variant>
      <vt:variant>
        <vt:lpwstr/>
      </vt:variant>
      <vt:variant>
        <vt:i4>7798844</vt:i4>
      </vt:variant>
      <vt:variant>
        <vt:i4>3</vt:i4>
      </vt:variant>
      <vt:variant>
        <vt:i4>0</vt:i4>
      </vt:variant>
      <vt:variant>
        <vt:i4>5</vt:i4>
      </vt:variant>
      <vt:variant>
        <vt:lpwstr>consultantplus://offline/ref=CDCC3D4487B93DD8C74A46074AE3CB8E0E7AF3ABFC19BC09406E4A0873D523ACF5EB36D2BF556B4BY1zDA</vt:lpwstr>
      </vt:variant>
      <vt:variant>
        <vt:lpwstr/>
      </vt:variant>
      <vt:variant>
        <vt:i4>2031628</vt:i4>
      </vt:variant>
      <vt:variant>
        <vt:i4>0</vt:i4>
      </vt:variant>
      <vt:variant>
        <vt:i4>0</vt:i4>
      </vt:variant>
      <vt:variant>
        <vt:i4>5</vt:i4>
      </vt:variant>
      <vt:variant>
        <vt:lpwstr>consultantplus://offline/ref=CDCC3D4487B93DD8C74A580A5C8F91830B70A4A7FA17BE5A1431115524DC29FBB2A46F90FB586A4E1F6A4AY6z0A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сахаяна</dc:creator>
  <cp:keywords/>
  <dc:description/>
  <cp:lastModifiedBy>rek</cp:lastModifiedBy>
  <cp:revision>2</cp:revision>
  <cp:lastPrinted>2012-05-23T04:16:00Z</cp:lastPrinted>
  <dcterms:created xsi:type="dcterms:W3CDTF">2012-05-31T23:46:00Z</dcterms:created>
  <dcterms:modified xsi:type="dcterms:W3CDTF">2012-05-31T23:46:00Z</dcterms:modified>
</cp:coreProperties>
</file>