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color w:val="auto"/>
                <w:lang w:eastAsia="ru-RU"/>
              </w:rPr>
              <w:t>Дата формирования 05.03.2015 12:36 http://torgi.gov.ru</w:t>
            </w: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b/>
                <w:bCs/>
                <w:color w:val="auto"/>
                <w:lang w:eastAsia="ru-RU"/>
              </w:rPr>
              <w:t>Извещение о проведении торгов № 050315/0153813/02</w:t>
            </w: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5"/>
              <w:gridCol w:w="5316"/>
            </w:tblGrid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Способ приватизации/продажи имущества: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Аукцион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Сайт размещения информации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http://torgi.gov.ru/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1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создания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05.03.2015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публикации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05.03.2015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последнего изменения: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05.03.2015</w:t>
                  </w:r>
                </w:p>
              </w:tc>
            </w:tr>
          </w:tbl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b/>
                <w:bCs/>
                <w:color w:val="auto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5"/>
              <w:gridCol w:w="5316"/>
            </w:tblGrid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Администрация муниципального образования "Город Удачный" </w:t>
                  </w:r>
                  <w:proofErr w:type="spell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Мирнинского</w:t>
                  </w:r>
                  <w:proofErr w:type="spellEnd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 района Республики Саха (Якутия)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678188, Республика Саха (Якутия) </w:t>
                  </w:r>
                  <w:proofErr w:type="spell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Мирнинский</w:t>
                  </w:r>
                  <w:proofErr w:type="spellEnd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 район, г</w:t>
                  </w:r>
                  <w:proofErr w:type="gram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.У</w:t>
                  </w:r>
                  <w:proofErr w:type="gramEnd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дачный, ул. Ленина, д.21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8(411-36)5-32-76, 5-25-70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8(411-36)5-05-70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E-mail</w:t>
                  </w:r>
                  <w:proofErr w:type="spellEnd"/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adm.udachny@mail.ru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Хисматуллина Наталья Николаевна</w:t>
                  </w:r>
                </w:p>
              </w:tc>
            </w:tr>
          </w:tbl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b/>
                <w:bCs/>
                <w:color w:val="auto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5"/>
              <w:gridCol w:w="5316"/>
            </w:tblGrid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06.03.2015 08:30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31.03.2015 10:00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Место и порядок подачи заявок на участие в приватизации/ продаже: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678188, Республика Саха (Якутия), г. </w:t>
                  </w:r>
                  <w:proofErr w:type="gram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Удачный</w:t>
                  </w:r>
                  <w:proofErr w:type="gramEnd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, </w:t>
                  </w:r>
                  <w:proofErr w:type="spell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мкрн</w:t>
                  </w:r>
                  <w:proofErr w:type="spellEnd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. Новый город, ул. Центральная площадь, 1, каб.8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15.04.2015 10:00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678188, Республика Саха (Якутия), г. </w:t>
                  </w:r>
                  <w:proofErr w:type="gram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Удачный</w:t>
                  </w:r>
                  <w:proofErr w:type="gramEnd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 xml:space="preserve">, </w:t>
                  </w:r>
                  <w:proofErr w:type="spell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мкрн</w:t>
                  </w:r>
                  <w:proofErr w:type="spellEnd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. Новый город, ул. Центральная площадь, 1,</w:t>
                  </w:r>
                  <w:proofErr w:type="gramStart"/>
                  <w:r w:rsidRPr="004201FF">
                    <w:rPr>
                      <w:rFonts w:eastAsia="Times New Roman"/>
                      <w:color w:val="auto"/>
                      <w:lang w:eastAsia="ru-RU"/>
                    </w:rPr>
                    <w:t>конференц зал</w:t>
                  </w:r>
                  <w:proofErr w:type="gramEnd"/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Место и срок подведения итогов: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b/>
                <w:bCs/>
                <w:color w:val="auto"/>
                <w:lang w:eastAsia="ru-RU"/>
              </w:rPr>
              <w:t>Реестр изменений</w:t>
            </w:r>
            <w:r w:rsidRPr="004201FF">
              <w:rPr>
                <w:rFonts w:eastAsia="Times New Roman"/>
                <w:color w:val="auto"/>
                <w:lang w:eastAsia="ru-RU"/>
              </w:rPr>
              <w:t> </w:t>
            </w:r>
            <w:r w:rsidRPr="004201FF">
              <w:rPr>
                <w:rFonts w:eastAsia="Times New Roman"/>
                <w:color w:val="auto"/>
                <w:lang w:eastAsia="ru-RU"/>
              </w:rPr>
              <w:br/>
            </w:r>
            <w:r w:rsidRPr="004201FF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Изменения по торгам не вносились.</w:t>
            </w: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b/>
                <w:bCs/>
                <w:color w:val="auto"/>
                <w:lang w:eastAsia="ru-RU"/>
              </w:rPr>
              <w:t>Реестр разъяснений</w:t>
            </w:r>
            <w:r w:rsidRPr="004201FF">
              <w:rPr>
                <w:rFonts w:eastAsia="Times New Roman"/>
                <w:color w:val="auto"/>
                <w:lang w:eastAsia="ru-RU"/>
              </w:rPr>
              <w:t> </w:t>
            </w:r>
            <w:r w:rsidRPr="004201FF">
              <w:rPr>
                <w:rFonts w:eastAsia="Times New Roman"/>
                <w:color w:val="auto"/>
                <w:lang w:eastAsia="ru-RU"/>
              </w:rPr>
              <w:br/>
            </w:r>
            <w:r w:rsidRPr="004201FF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Запросов на разъяснение не поступало.</w:t>
            </w: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b/>
                <w:bCs/>
                <w:color w:val="auto"/>
                <w:lang w:eastAsia="ru-RU"/>
              </w:rPr>
              <w:t>Реестр протоколов</w:t>
            </w:r>
            <w:proofErr w:type="gramStart"/>
            <w:r w:rsidRPr="004201FF">
              <w:rPr>
                <w:rFonts w:eastAsia="Times New Roman"/>
                <w:color w:val="auto"/>
                <w:lang w:eastAsia="ru-RU"/>
              </w:rPr>
              <w:t> </w:t>
            </w:r>
            <w:r w:rsidRPr="004201FF">
              <w:rPr>
                <w:rFonts w:eastAsia="Times New Roman"/>
                <w:color w:val="auto"/>
                <w:lang w:eastAsia="ru-RU"/>
              </w:rPr>
              <w:br/>
            </w:r>
            <w:r w:rsidRPr="004201FF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П</w:t>
            </w:r>
            <w:proofErr w:type="gramEnd"/>
            <w:r w:rsidRPr="004201FF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о торгам не внесены протоколы.</w:t>
            </w: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4201FF">
              <w:rPr>
                <w:rFonts w:eastAsia="Times New Roman"/>
                <w:b/>
                <w:bCs/>
                <w:color w:val="auto"/>
                <w:lang w:eastAsia="ru-RU"/>
              </w:rPr>
              <w:t>Реестр жалоб</w:t>
            </w:r>
            <w:r w:rsidRPr="004201FF">
              <w:rPr>
                <w:rFonts w:eastAsia="Times New Roman"/>
                <w:color w:val="auto"/>
                <w:lang w:eastAsia="ru-RU"/>
              </w:rPr>
              <w:t> </w:t>
            </w:r>
            <w:r w:rsidRPr="004201FF">
              <w:rPr>
                <w:rFonts w:eastAsia="Times New Roman"/>
                <w:color w:val="auto"/>
                <w:lang w:eastAsia="ru-RU"/>
              </w:rPr>
              <w:br/>
            </w:r>
            <w:r w:rsidRPr="004201FF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Жалоб по торгам не зарегистрировано.</w:t>
            </w:r>
          </w:p>
        </w:tc>
      </w:tr>
      <w:tr w:rsidR="004201FF" w:rsidRPr="004201F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1"/>
            </w:tblGrid>
            <w:tr w:rsidR="004201FF" w:rsidRPr="00420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b/>
                      <w:bCs/>
                      <w:color w:val="auto"/>
                      <w:lang w:eastAsia="ru-RU"/>
                    </w:rPr>
                    <w:t>Лот № 1</w:t>
                  </w: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5271"/>
                  </w:tblGrid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proofErr w:type="gram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4201FF">
                    <w:rPr>
                      <w:rFonts w:eastAsia="Times New Roman"/>
                      <w:b/>
                      <w:bCs/>
                      <w:color w:val="auto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5271"/>
                  </w:tblGrid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Решение собственника о проведении торгов: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Решение городского Совета депутатов МО «Город Удачный» от 17 декабря 2014 года №24-5 «Об утверждении Прогнозного плана (Программы) приватизации муниципального имущества муниципального образования «Город Удачный» на 2015 год»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Наименование и характеристика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Гостиница «Вилюй» на 56 мест, назначение: </w:t>
                        </w: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lastRenderedPageBreak/>
                          <w:t>нежилое, общественное, 2-этажное. Общей площадью 1091,4 кв.м. Земельный участок, площадью 1913 кв.м., с кадастровым номером 14:16:010502:1729.Требуется ремонт.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lastRenderedPageBreak/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Место нахождения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Саха /Якутия/ </w:t>
                        </w:r>
                        <w:proofErr w:type="spell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Респ</w:t>
                        </w:r>
                        <w:proofErr w:type="spellEnd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Мирнинский</w:t>
                        </w:r>
                        <w:proofErr w:type="spellEnd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 у, </w:t>
                        </w:r>
                        <w:proofErr w:type="gram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Удачный</w:t>
                        </w:r>
                        <w:proofErr w:type="gramEnd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 г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Начальная цена продажи имущества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1 348 000 руб.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Шаг аукциона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67 400 руб.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Перечень представляемых покупателями документов: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• Заявка в 2-х экземплярах по утвержденной Организатором форме. • Опись представленных документов, подписанная претендентом или его уполномоченным представителем, в двух экземплярах (Приложение № 3 к документации об аукционе). • В случае если от имени претендента действует его представитель 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 или нотариально заверенная копия такой доверенности. • Претенденты – физические лица предъявляют документ, удостоверяющий личность (копии всех листов). • Претенденты – индивидуальные предприниматели дополнительно представляют: • - заверенную копию свидетельства о постановке на учет физического лица в налоговом органе на территории Российской Федерации; • - заверенную копию свидетельства о государственной регистрации физического лица в качестве индивидуального предпринимателя. • Претенденты – юридические лица дополнительно представляют: • - заверенные копии учредительных документов; •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Документы, содержащие помарки, подчистки, исправления и т.п. не рассматриваются.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Описание обременения: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134 800 руб.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lastRenderedPageBreak/>
                          <w:t>Срок и порядок внесения задатка: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Требование о внесении задатка в равной мере распространяется на всех участников аукциона. Задаток вносится в безналичном порядке. Задаток вносится заявителем в срок с «06» марта 2015 г. в 8 час. 30 мин. (время местное) по «31» марта 2015 г. в 10 час. 00 мин. (время местное) Задаток должен поступить на счет организатора торгов, не позднее «31» марта 2015 г. в 10 час. 00 мин. (время местное).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Порядок ознакомления покупателей с условиями договора купли-продажи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proofErr w:type="gram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С объектами, условиями договора купли-продажи имущества и иной информацией можно ознакомиться по предварительному согласованию, по телефону 8 (41136) 5-11-12(110) по рабочим дням до 18 ч.00 мин. перерыв на обед с 12 ч 30 мин до 14 ч. 00 мин., в пятницу с 8 ч. 30 мин. до 12 ч. 30 мин.</w:t>
                        </w:r>
                        <w:proofErr w:type="gramEnd"/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Ограничения участия в приватизации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proofErr w:type="gram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«О приватизации государственного и муниципального имущества» от 21.12.2001 г. № 178-ФЗ.</w:t>
                        </w:r>
                        <w:proofErr w:type="gramEnd"/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Порядок определения победителей: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Победителем аукциона признается лицо, предложившее наиболее высокую цену договора.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Срок заключения договора купли-продажи: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Договор купли-продажи заключается между продавцом и победителем аукциона в установленном законодательством порядке в течение 15 (пятнадцати) рабочих дней со дня подведения итогов </w:t>
                        </w:r>
                        <w:proofErr w:type="spell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аукциона</w:t>
                        </w:r>
                        <w:proofErr w:type="gramStart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.Н</w:t>
                        </w:r>
                        <w:proofErr w:type="gramEnd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е</w:t>
                        </w:r>
                        <w:proofErr w:type="spellEnd"/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 допускается заключение договора по результатам торгов ранее чем через 10 (десять) рабочих дней со дня размещение протокола об итогах проведения продажи муниципального имущества на сайтах в сети «Интернет»</w:t>
                        </w:r>
                      </w:p>
                    </w:tc>
                  </w:tr>
                  <w:tr w:rsidR="004201FF" w:rsidRPr="004201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Информация о предыдущих торгах по продаже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201FF" w:rsidRPr="004201FF" w:rsidRDefault="004201FF" w:rsidP="004201FF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4201FF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протокол №190213/0153813/01 от 19.03.2013 г.</w:t>
                        </w:r>
                      </w:p>
                    </w:tc>
                  </w:tr>
                </w:tbl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  <w:tr w:rsidR="004201FF" w:rsidRPr="00420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1FF" w:rsidRPr="004201FF" w:rsidRDefault="004201FF" w:rsidP="004201FF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4201FF" w:rsidRPr="004201FF" w:rsidRDefault="004201FF" w:rsidP="004201F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D56F33" w:rsidRDefault="00D56F33"/>
    <w:sectPr w:rsidR="00D56F33" w:rsidSect="004201FF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01FF"/>
    <w:rsid w:val="00002492"/>
    <w:rsid w:val="00003DF7"/>
    <w:rsid w:val="00010E99"/>
    <w:rsid w:val="00013495"/>
    <w:rsid w:val="00015088"/>
    <w:rsid w:val="000158FF"/>
    <w:rsid w:val="00016C08"/>
    <w:rsid w:val="00024658"/>
    <w:rsid w:val="0002501F"/>
    <w:rsid w:val="000263C8"/>
    <w:rsid w:val="000267DC"/>
    <w:rsid w:val="000273B5"/>
    <w:rsid w:val="00027DC9"/>
    <w:rsid w:val="00027E3D"/>
    <w:rsid w:val="00031D5A"/>
    <w:rsid w:val="00033134"/>
    <w:rsid w:val="00033D89"/>
    <w:rsid w:val="00036AF1"/>
    <w:rsid w:val="0004070B"/>
    <w:rsid w:val="00042CFB"/>
    <w:rsid w:val="00046786"/>
    <w:rsid w:val="00063FAF"/>
    <w:rsid w:val="0006714F"/>
    <w:rsid w:val="00067CE7"/>
    <w:rsid w:val="000732A0"/>
    <w:rsid w:val="00074020"/>
    <w:rsid w:val="00074DC2"/>
    <w:rsid w:val="000751E0"/>
    <w:rsid w:val="00086B15"/>
    <w:rsid w:val="00091928"/>
    <w:rsid w:val="000920BE"/>
    <w:rsid w:val="000933E8"/>
    <w:rsid w:val="00093EDF"/>
    <w:rsid w:val="000941A5"/>
    <w:rsid w:val="0009539C"/>
    <w:rsid w:val="00097971"/>
    <w:rsid w:val="000A4C13"/>
    <w:rsid w:val="000A7444"/>
    <w:rsid w:val="000A7B47"/>
    <w:rsid w:val="000B1BFC"/>
    <w:rsid w:val="000C01BC"/>
    <w:rsid w:val="000C2E66"/>
    <w:rsid w:val="000C367C"/>
    <w:rsid w:val="000C718F"/>
    <w:rsid w:val="000D2E9E"/>
    <w:rsid w:val="000D3150"/>
    <w:rsid w:val="000D5E7F"/>
    <w:rsid w:val="000D75FC"/>
    <w:rsid w:val="000E2148"/>
    <w:rsid w:val="000E33B7"/>
    <w:rsid w:val="000F18DA"/>
    <w:rsid w:val="000F7015"/>
    <w:rsid w:val="00100764"/>
    <w:rsid w:val="00103C2B"/>
    <w:rsid w:val="00106418"/>
    <w:rsid w:val="0010678A"/>
    <w:rsid w:val="00107A9B"/>
    <w:rsid w:val="00110ACD"/>
    <w:rsid w:val="00115330"/>
    <w:rsid w:val="001200D1"/>
    <w:rsid w:val="0012428F"/>
    <w:rsid w:val="001318BC"/>
    <w:rsid w:val="00132A8D"/>
    <w:rsid w:val="001332FA"/>
    <w:rsid w:val="00133874"/>
    <w:rsid w:val="0013514C"/>
    <w:rsid w:val="0014049A"/>
    <w:rsid w:val="00142390"/>
    <w:rsid w:val="00142571"/>
    <w:rsid w:val="00151DCA"/>
    <w:rsid w:val="0016441C"/>
    <w:rsid w:val="00174AEE"/>
    <w:rsid w:val="00184641"/>
    <w:rsid w:val="00190FA2"/>
    <w:rsid w:val="001937B4"/>
    <w:rsid w:val="001944EC"/>
    <w:rsid w:val="00195F5A"/>
    <w:rsid w:val="001971B3"/>
    <w:rsid w:val="001A1887"/>
    <w:rsid w:val="001A2143"/>
    <w:rsid w:val="001A484F"/>
    <w:rsid w:val="001A7D62"/>
    <w:rsid w:val="001B1F65"/>
    <w:rsid w:val="001C0F2D"/>
    <w:rsid w:val="001C43F5"/>
    <w:rsid w:val="001C4CCB"/>
    <w:rsid w:val="001C5EDB"/>
    <w:rsid w:val="001D3313"/>
    <w:rsid w:val="001D3C35"/>
    <w:rsid w:val="001E77CE"/>
    <w:rsid w:val="001E7963"/>
    <w:rsid w:val="001F00DD"/>
    <w:rsid w:val="001F265A"/>
    <w:rsid w:val="001F2E89"/>
    <w:rsid w:val="001F4362"/>
    <w:rsid w:val="001F5928"/>
    <w:rsid w:val="00204523"/>
    <w:rsid w:val="00207228"/>
    <w:rsid w:val="00207CC9"/>
    <w:rsid w:val="00210C8F"/>
    <w:rsid w:val="00214E00"/>
    <w:rsid w:val="0021777B"/>
    <w:rsid w:val="00222957"/>
    <w:rsid w:val="00222CC0"/>
    <w:rsid w:val="0022312D"/>
    <w:rsid w:val="0022383D"/>
    <w:rsid w:val="00231295"/>
    <w:rsid w:val="00232F28"/>
    <w:rsid w:val="002368BE"/>
    <w:rsid w:val="002409C6"/>
    <w:rsid w:val="00244F90"/>
    <w:rsid w:val="00254B7A"/>
    <w:rsid w:val="00263C76"/>
    <w:rsid w:val="00263E10"/>
    <w:rsid w:val="00263F4A"/>
    <w:rsid w:val="00272435"/>
    <w:rsid w:val="00272FA7"/>
    <w:rsid w:val="00273533"/>
    <w:rsid w:val="0027428D"/>
    <w:rsid w:val="00275A8E"/>
    <w:rsid w:val="00283B90"/>
    <w:rsid w:val="002869A5"/>
    <w:rsid w:val="002878CD"/>
    <w:rsid w:val="00293C1F"/>
    <w:rsid w:val="00294EB5"/>
    <w:rsid w:val="002957CA"/>
    <w:rsid w:val="00296AAD"/>
    <w:rsid w:val="002A26AE"/>
    <w:rsid w:val="002A2EC8"/>
    <w:rsid w:val="002A4773"/>
    <w:rsid w:val="002A6ED0"/>
    <w:rsid w:val="002B3CCF"/>
    <w:rsid w:val="002B5CA8"/>
    <w:rsid w:val="002B7B58"/>
    <w:rsid w:val="002C21D7"/>
    <w:rsid w:val="002C3939"/>
    <w:rsid w:val="002C453B"/>
    <w:rsid w:val="002C7A54"/>
    <w:rsid w:val="002D0A7B"/>
    <w:rsid w:val="002D0EFC"/>
    <w:rsid w:val="002D1DDF"/>
    <w:rsid w:val="002D42B2"/>
    <w:rsid w:val="002D6234"/>
    <w:rsid w:val="002D74AA"/>
    <w:rsid w:val="002D778A"/>
    <w:rsid w:val="002F533A"/>
    <w:rsid w:val="002F6C7C"/>
    <w:rsid w:val="002F77B5"/>
    <w:rsid w:val="003020D9"/>
    <w:rsid w:val="003074B6"/>
    <w:rsid w:val="00310031"/>
    <w:rsid w:val="0031565B"/>
    <w:rsid w:val="00315672"/>
    <w:rsid w:val="00316092"/>
    <w:rsid w:val="00321C56"/>
    <w:rsid w:val="00322C7B"/>
    <w:rsid w:val="00326CA7"/>
    <w:rsid w:val="00327388"/>
    <w:rsid w:val="00327647"/>
    <w:rsid w:val="00330160"/>
    <w:rsid w:val="00335994"/>
    <w:rsid w:val="0034586F"/>
    <w:rsid w:val="003534F9"/>
    <w:rsid w:val="003551D9"/>
    <w:rsid w:val="00355FDB"/>
    <w:rsid w:val="003614EA"/>
    <w:rsid w:val="0036442A"/>
    <w:rsid w:val="0036473F"/>
    <w:rsid w:val="00365C31"/>
    <w:rsid w:val="00366D4A"/>
    <w:rsid w:val="00375865"/>
    <w:rsid w:val="0037601C"/>
    <w:rsid w:val="00380362"/>
    <w:rsid w:val="0038049B"/>
    <w:rsid w:val="0038109D"/>
    <w:rsid w:val="003A5B25"/>
    <w:rsid w:val="003A5DAD"/>
    <w:rsid w:val="003B22A1"/>
    <w:rsid w:val="003B2ED7"/>
    <w:rsid w:val="003B5002"/>
    <w:rsid w:val="003C12C8"/>
    <w:rsid w:val="003C2916"/>
    <w:rsid w:val="003C41B4"/>
    <w:rsid w:val="003C4589"/>
    <w:rsid w:val="003C6984"/>
    <w:rsid w:val="003D17F2"/>
    <w:rsid w:val="003D1D5A"/>
    <w:rsid w:val="003D3EDF"/>
    <w:rsid w:val="003D5629"/>
    <w:rsid w:val="003E133F"/>
    <w:rsid w:val="003E2A81"/>
    <w:rsid w:val="003F028D"/>
    <w:rsid w:val="003F4639"/>
    <w:rsid w:val="003F4C5F"/>
    <w:rsid w:val="003F649A"/>
    <w:rsid w:val="004008BD"/>
    <w:rsid w:val="00403711"/>
    <w:rsid w:val="00404C2A"/>
    <w:rsid w:val="00405F34"/>
    <w:rsid w:val="004123B9"/>
    <w:rsid w:val="00413F4A"/>
    <w:rsid w:val="00414615"/>
    <w:rsid w:val="00417730"/>
    <w:rsid w:val="004201FF"/>
    <w:rsid w:val="004202A4"/>
    <w:rsid w:val="004226B6"/>
    <w:rsid w:val="004265B0"/>
    <w:rsid w:val="00427DBE"/>
    <w:rsid w:val="0043055C"/>
    <w:rsid w:val="004312D7"/>
    <w:rsid w:val="0043460D"/>
    <w:rsid w:val="0044698A"/>
    <w:rsid w:val="00451B90"/>
    <w:rsid w:val="0045232B"/>
    <w:rsid w:val="0045606E"/>
    <w:rsid w:val="00456794"/>
    <w:rsid w:val="004568A7"/>
    <w:rsid w:val="00461310"/>
    <w:rsid w:val="004615B4"/>
    <w:rsid w:val="004673E9"/>
    <w:rsid w:val="00471D1C"/>
    <w:rsid w:val="00480469"/>
    <w:rsid w:val="004804BF"/>
    <w:rsid w:val="004969CE"/>
    <w:rsid w:val="004A2B8C"/>
    <w:rsid w:val="004B4E57"/>
    <w:rsid w:val="004C3306"/>
    <w:rsid w:val="004D2C1E"/>
    <w:rsid w:val="004D4251"/>
    <w:rsid w:val="004D4CB3"/>
    <w:rsid w:val="004E05D7"/>
    <w:rsid w:val="004E1E0F"/>
    <w:rsid w:val="004F511C"/>
    <w:rsid w:val="004F5F79"/>
    <w:rsid w:val="004F626F"/>
    <w:rsid w:val="00501617"/>
    <w:rsid w:val="00502CCB"/>
    <w:rsid w:val="00512254"/>
    <w:rsid w:val="00512A66"/>
    <w:rsid w:val="005134B8"/>
    <w:rsid w:val="00514E78"/>
    <w:rsid w:val="00517138"/>
    <w:rsid w:val="00517C3E"/>
    <w:rsid w:val="00522F84"/>
    <w:rsid w:val="00534164"/>
    <w:rsid w:val="005345D7"/>
    <w:rsid w:val="00536327"/>
    <w:rsid w:val="00537B79"/>
    <w:rsid w:val="005420B7"/>
    <w:rsid w:val="00545B0B"/>
    <w:rsid w:val="00553187"/>
    <w:rsid w:val="0055496B"/>
    <w:rsid w:val="00554F58"/>
    <w:rsid w:val="00556CE1"/>
    <w:rsid w:val="00561F3B"/>
    <w:rsid w:val="00565486"/>
    <w:rsid w:val="005664E3"/>
    <w:rsid w:val="00567050"/>
    <w:rsid w:val="005731B3"/>
    <w:rsid w:val="005743A6"/>
    <w:rsid w:val="005766D9"/>
    <w:rsid w:val="00580A5B"/>
    <w:rsid w:val="0059051F"/>
    <w:rsid w:val="005A214D"/>
    <w:rsid w:val="005A4391"/>
    <w:rsid w:val="005A799A"/>
    <w:rsid w:val="005A7DE7"/>
    <w:rsid w:val="005B1945"/>
    <w:rsid w:val="005B2738"/>
    <w:rsid w:val="005B564A"/>
    <w:rsid w:val="005C42C6"/>
    <w:rsid w:val="005C4CD1"/>
    <w:rsid w:val="005C7426"/>
    <w:rsid w:val="005C7D7F"/>
    <w:rsid w:val="005D2867"/>
    <w:rsid w:val="005D376F"/>
    <w:rsid w:val="005D6811"/>
    <w:rsid w:val="005D70D8"/>
    <w:rsid w:val="005D7B06"/>
    <w:rsid w:val="005E1E32"/>
    <w:rsid w:val="005E5A35"/>
    <w:rsid w:val="005E6EE3"/>
    <w:rsid w:val="005E76E5"/>
    <w:rsid w:val="005F1576"/>
    <w:rsid w:val="005F7CAB"/>
    <w:rsid w:val="006022F8"/>
    <w:rsid w:val="00603DA5"/>
    <w:rsid w:val="006047F0"/>
    <w:rsid w:val="00613231"/>
    <w:rsid w:val="00620DE7"/>
    <w:rsid w:val="00621556"/>
    <w:rsid w:val="00622C89"/>
    <w:rsid w:val="0063336E"/>
    <w:rsid w:val="00637CB7"/>
    <w:rsid w:val="00640180"/>
    <w:rsid w:val="0064703B"/>
    <w:rsid w:val="00654887"/>
    <w:rsid w:val="00655C66"/>
    <w:rsid w:val="00657427"/>
    <w:rsid w:val="00657AF8"/>
    <w:rsid w:val="006638BC"/>
    <w:rsid w:val="006654EC"/>
    <w:rsid w:val="00670C2D"/>
    <w:rsid w:val="00670DC6"/>
    <w:rsid w:val="00670DCE"/>
    <w:rsid w:val="00674077"/>
    <w:rsid w:val="00680073"/>
    <w:rsid w:val="00684F02"/>
    <w:rsid w:val="00685284"/>
    <w:rsid w:val="00690B5F"/>
    <w:rsid w:val="00691315"/>
    <w:rsid w:val="006935A4"/>
    <w:rsid w:val="006A0577"/>
    <w:rsid w:val="006A2EF4"/>
    <w:rsid w:val="006A4507"/>
    <w:rsid w:val="006A53B5"/>
    <w:rsid w:val="006A5811"/>
    <w:rsid w:val="006A5852"/>
    <w:rsid w:val="006B3F0E"/>
    <w:rsid w:val="006B5FCF"/>
    <w:rsid w:val="006B5FF8"/>
    <w:rsid w:val="006C2361"/>
    <w:rsid w:val="006C391B"/>
    <w:rsid w:val="006C4879"/>
    <w:rsid w:val="006D15D1"/>
    <w:rsid w:val="006D7844"/>
    <w:rsid w:val="006E029C"/>
    <w:rsid w:val="006E22F7"/>
    <w:rsid w:val="006E5D1D"/>
    <w:rsid w:val="006E7A3A"/>
    <w:rsid w:val="006F0427"/>
    <w:rsid w:val="006F1E06"/>
    <w:rsid w:val="006F4F65"/>
    <w:rsid w:val="006F69F7"/>
    <w:rsid w:val="0070289E"/>
    <w:rsid w:val="0070384B"/>
    <w:rsid w:val="00715BCF"/>
    <w:rsid w:val="007176D2"/>
    <w:rsid w:val="00717786"/>
    <w:rsid w:val="00720D12"/>
    <w:rsid w:val="007213F5"/>
    <w:rsid w:val="0072397B"/>
    <w:rsid w:val="00736449"/>
    <w:rsid w:val="00737EBA"/>
    <w:rsid w:val="00740797"/>
    <w:rsid w:val="007411B8"/>
    <w:rsid w:val="00743111"/>
    <w:rsid w:val="007462AA"/>
    <w:rsid w:val="00752A1E"/>
    <w:rsid w:val="00755264"/>
    <w:rsid w:val="00763FB9"/>
    <w:rsid w:val="0076415D"/>
    <w:rsid w:val="007811B2"/>
    <w:rsid w:val="00781788"/>
    <w:rsid w:val="00783294"/>
    <w:rsid w:val="007860FD"/>
    <w:rsid w:val="007875AA"/>
    <w:rsid w:val="00797147"/>
    <w:rsid w:val="007A0849"/>
    <w:rsid w:val="007A0A2B"/>
    <w:rsid w:val="007A2F4A"/>
    <w:rsid w:val="007B12C3"/>
    <w:rsid w:val="007B190E"/>
    <w:rsid w:val="007B5751"/>
    <w:rsid w:val="007C07B3"/>
    <w:rsid w:val="007D1714"/>
    <w:rsid w:val="007D7B54"/>
    <w:rsid w:val="007E1464"/>
    <w:rsid w:val="007E4C22"/>
    <w:rsid w:val="007E7E41"/>
    <w:rsid w:val="007F221C"/>
    <w:rsid w:val="00800C08"/>
    <w:rsid w:val="008070CF"/>
    <w:rsid w:val="00810BFA"/>
    <w:rsid w:val="00815270"/>
    <w:rsid w:val="008157D0"/>
    <w:rsid w:val="008226AD"/>
    <w:rsid w:val="00824292"/>
    <w:rsid w:val="00825DCA"/>
    <w:rsid w:val="00837CF1"/>
    <w:rsid w:val="008417B5"/>
    <w:rsid w:val="00845068"/>
    <w:rsid w:val="0086036B"/>
    <w:rsid w:val="008643DF"/>
    <w:rsid w:val="00865BF8"/>
    <w:rsid w:val="0086635E"/>
    <w:rsid w:val="008667D1"/>
    <w:rsid w:val="00866E20"/>
    <w:rsid w:val="008673B1"/>
    <w:rsid w:val="00870E82"/>
    <w:rsid w:val="00872774"/>
    <w:rsid w:val="00872B15"/>
    <w:rsid w:val="00872C8A"/>
    <w:rsid w:val="00877264"/>
    <w:rsid w:val="008825CB"/>
    <w:rsid w:val="008867BE"/>
    <w:rsid w:val="00887734"/>
    <w:rsid w:val="00891ADB"/>
    <w:rsid w:val="008925C1"/>
    <w:rsid w:val="008927E0"/>
    <w:rsid w:val="00892C5C"/>
    <w:rsid w:val="008933D2"/>
    <w:rsid w:val="0089522D"/>
    <w:rsid w:val="00895675"/>
    <w:rsid w:val="00895B87"/>
    <w:rsid w:val="008968A6"/>
    <w:rsid w:val="00897023"/>
    <w:rsid w:val="008A2B2D"/>
    <w:rsid w:val="008A609B"/>
    <w:rsid w:val="008B2577"/>
    <w:rsid w:val="008B3460"/>
    <w:rsid w:val="008B7591"/>
    <w:rsid w:val="008B7E08"/>
    <w:rsid w:val="008C391F"/>
    <w:rsid w:val="008C40A1"/>
    <w:rsid w:val="008C77A6"/>
    <w:rsid w:val="008D284D"/>
    <w:rsid w:val="008D33DB"/>
    <w:rsid w:val="008D7412"/>
    <w:rsid w:val="008E4F4E"/>
    <w:rsid w:val="008F0F95"/>
    <w:rsid w:val="008F1882"/>
    <w:rsid w:val="008F21D9"/>
    <w:rsid w:val="008F2F2C"/>
    <w:rsid w:val="009053B4"/>
    <w:rsid w:val="009130E9"/>
    <w:rsid w:val="0091374E"/>
    <w:rsid w:val="009171A6"/>
    <w:rsid w:val="00917BF0"/>
    <w:rsid w:val="00920AA4"/>
    <w:rsid w:val="00921006"/>
    <w:rsid w:val="00923C41"/>
    <w:rsid w:val="00923C60"/>
    <w:rsid w:val="009269AF"/>
    <w:rsid w:val="00927CA3"/>
    <w:rsid w:val="009349F4"/>
    <w:rsid w:val="00934A69"/>
    <w:rsid w:val="00942B55"/>
    <w:rsid w:val="00944AE8"/>
    <w:rsid w:val="00946473"/>
    <w:rsid w:val="00956B71"/>
    <w:rsid w:val="00960B86"/>
    <w:rsid w:val="00960B91"/>
    <w:rsid w:val="009630AF"/>
    <w:rsid w:val="0096405A"/>
    <w:rsid w:val="00964265"/>
    <w:rsid w:val="009678CB"/>
    <w:rsid w:val="00972FE4"/>
    <w:rsid w:val="00982BB1"/>
    <w:rsid w:val="0098526D"/>
    <w:rsid w:val="00985811"/>
    <w:rsid w:val="00986B15"/>
    <w:rsid w:val="00995DE5"/>
    <w:rsid w:val="009970AC"/>
    <w:rsid w:val="00997721"/>
    <w:rsid w:val="00997C5B"/>
    <w:rsid w:val="009A11C6"/>
    <w:rsid w:val="009A13BD"/>
    <w:rsid w:val="009B06B9"/>
    <w:rsid w:val="009B2077"/>
    <w:rsid w:val="009C0CB7"/>
    <w:rsid w:val="009C2103"/>
    <w:rsid w:val="009C5135"/>
    <w:rsid w:val="009C63DB"/>
    <w:rsid w:val="009D03B4"/>
    <w:rsid w:val="009D23A6"/>
    <w:rsid w:val="009D4525"/>
    <w:rsid w:val="009D5F7C"/>
    <w:rsid w:val="009D762D"/>
    <w:rsid w:val="009E1D13"/>
    <w:rsid w:val="009E222E"/>
    <w:rsid w:val="009E2DC8"/>
    <w:rsid w:val="009E2F62"/>
    <w:rsid w:val="009E5F60"/>
    <w:rsid w:val="009F0519"/>
    <w:rsid w:val="009F3ABE"/>
    <w:rsid w:val="009F4487"/>
    <w:rsid w:val="009F747A"/>
    <w:rsid w:val="00A0619C"/>
    <w:rsid w:val="00A06A28"/>
    <w:rsid w:val="00A1071F"/>
    <w:rsid w:val="00A162B4"/>
    <w:rsid w:val="00A176B4"/>
    <w:rsid w:val="00A256C2"/>
    <w:rsid w:val="00A25B59"/>
    <w:rsid w:val="00A41161"/>
    <w:rsid w:val="00A43A6F"/>
    <w:rsid w:val="00A4504E"/>
    <w:rsid w:val="00A5124D"/>
    <w:rsid w:val="00A67932"/>
    <w:rsid w:val="00A67B06"/>
    <w:rsid w:val="00A8154B"/>
    <w:rsid w:val="00A827B8"/>
    <w:rsid w:val="00A841E9"/>
    <w:rsid w:val="00A84852"/>
    <w:rsid w:val="00A946CB"/>
    <w:rsid w:val="00A9634F"/>
    <w:rsid w:val="00AA213F"/>
    <w:rsid w:val="00AA3150"/>
    <w:rsid w:val="00AA3C5B"/>
    <w:rsid w:val="00AA4BE4"/>
    <w:rsid w:val="00AB0455"/>
    <w:rsid w:val="00AB2209"/>
    <w:rsid w:val="00AB552C"/>
    <w:rsid w:val="00AB5CEA"/>
    <w:rsid w:val="00AC278E"/>
    <w:rsid w:val="00AC482A"/>
    <w:rsid w:val="00AC5CAA"/>
    <w:rsid w:val="00AE061D"/>
    <w:rsid w:val="00AE20A1"/>
    <w:rsid w:val="00AE7C4F"/>
    <w:rsid w:val="00AF6233"/>
    <w:rsid w:val="00B01CE5"/>
    <w:rsid w:val="00B109E3"/>
    <w:rsid w:val="00B10AD3"/>
    <w:rsid w:val="00B13EFF"/>
    <w:rsid w:val="00B21AEB"/>
    <w:rsid w:val="00B22DDB"/>
    <w:rsid w:val="00B23823"/>
    <w:rsid w:val="00B24433"/>
    <w:rsid w:val="00B25D1F"/>
    <w:rsid w:val="00B25DAD"/>
    <w:rsid w:val="00B2709F"/>
    <w:rsid w:val="00B34CD1"/>
    <w:rsid w:val="00B3506C"/>
    <w:rsid w:val="00B36EC6"/>
    <w:rsid w:val="00B404CA"/>
    <w:rsid w:val="00B4136D"/>
    <w:rsid w:val="00B44659"/>
    <w:rsid w:val="00B47593"/>
    <w:rsid w:val="00B52827"/>
    <w:rsid w:val="00B61E8A"/>
    <w:rsid w:val="00B708EE"/>
    <w:rsid w:val="00B71B67"/>
    <w:rsid w:val="00B769F3"/>
    <w:rsid w:val="00B77446"/>
    <w:rsid w:val="00B80A0C"/>
    <w:rsid w:val="00B90F9A"/>
    <w:rsid w:val="00B95D64"/>
    <w:rsid w:val="00BA27B5"/>
    <w:rsid w:val="00BB0DF5"/>
    <w:rsid w:val="00BB0F0B"/>
    <w:rsid w:val="00BB3B28"/>
    <w:rsid w:val="00BB55B6"/>
    <w:rsid w:val="00BC1C20"/>
    <w:rsid w:val="00BC6552"/>
    <w:rsid w:val="00BC66C6"/>
    <w:rsid w:val="00BC6812"/>
    <w:rsid w:val="00BD05A8"/>
    <w:rsid w:val="00BD3AE1"/>
    <w:rsid w:val="00BD4A48"/>
    <w:rsid w:val="00BD6352"/>
    <w:rsid w:val="00BD7469"/>
    <w:rsid w:val="00BF0AC8"/>
    <w:rsid w:val="00BF299C"/>
    <w:rsid w:val="00BF5515"/>
    <w:rsid w:val="00C025BC"/>
    <w:rsid w:val="00C041CB"/>
    <w:rsid w:val="00C059B8"/>
    <w:rsid w:val="00C059E0"/>
    <w:rsid w:val="00C05FFD"/>
    <w:rsid w:val="00C16539"/>
    <w:rsid w:val="00C17B12"/>
    <w:rsid w:val="00C2031B"/>
    <w:rsid w:val="00C21D44"/>
    <w:rsid w:val="00C237F9"/>
    <w:rsid w:val="00C24FA9"/>
    <w:rsid w:val="00C25AB7"/>
    <w:rsid w:val="00C268D3"/>
    <w:rsid w:val="00C26D4B"/>
    <w:rsid w:val="00C301A1"/>
    <w:rsid w:val="00C3170A"/>
    <w:rsid w:val="00C32985"/>
    <w:rsid w:val="00C32BC2"/>
    <w:rsid w:val="00C33078"/>
    <w:rsid w:val="00C366E0"/>
    <w:rsid w:val="00C427AB"/>
    <w:rsid w:val="00C435A0"/>
    <w:rsid w:val="00C43A84"/>
    <w:rsid w:val="00C5335B"/>
    <w:rsid w:val="00C57AC8"/>
    <w:rsid w:val="00C6019B"/>
    <w:rsid w:val="00C60514"/>
    <w:rsid w:val="00C60B95"/>
    <w:rsid w:val="00C60F1C"/>
    <w:rsid w:val="00C61AD5"/>
    <w:rsid w:val="00C66F7E"/>
    <w:rsid w:val="00C71F9E"/>
    <w:rsid w:val="00C7246E"/>
    <w:rsid w:val="00C73FD4"/>
    <w:rsid w:val="00C74BAC"/>
    <w:rsid w:val="00C76123"/>
    <w:rsid w:val="00C836C1"/>
    <w:rsid w:val="00C87F1A"/>
    <w:rsid w:val="00C9195A"/>
    <w:rsid w:val="00CA04D8"/>
    <w:rsid w:val="00CA148F"/>
    <w:rsid w:val="00CA1550"/>
    <w:rsid w:val="00CA162C"/>
    <w:rsid w:val="00CA186C"/>
    <w:rsid w:val="00CA1894"/>
    <w:rsid w:val="00CA18C7"/>
    <w:rsid w:val="00CA1C36"/>
    <w:rsid w:val="00CB163A"/>
    <w:rsid w:val="00CB7C27"/>
    <w:rsid w:val="00CC47EE"/>
    <w:rsid w:val="00CC65B2"/>
    <w:rsid w:val="00CC698C"/>
    <w:rsid w:val="00CD255A"/>
    <w:rsid w:val="00CE324F"/>
    <w:rsid w:val="00CE5B0B"/>
    <w:rsid w:val="00CE6C28"/>
    <w:rsid w:val="00CE7212"/>
    <w:rsid w:val="00CE7DE9"/>
    <w:rsid w:val="00CF4FD6"/>
    <w:rsid w:val="00D029C6"/>
    <w:rsid w:val="00D06DC4"/>
    <w:rsid w:val="00D1698E"/>
    <w:rsid w:val="00D20DCF"/>
    <w:rsid w:val="00D22923"/>
    <w:rsid w:val="00D235A4"/>
    <w:rsid w:val="00D26CE8"/>
    <w:rsid w:val="00D337C8"/>
    <w:rsid w:val="00D340EA"/>
    <w:rsid w:val="00D35180"/>
    <w:rsid w:val="00D354CC"/>
    <w:rsid w:val="00D37F05"/>
    <w:rsid w:val="00D4591C"/>
    <w:rsid w:val="00D510A7"/>
    <w:rsid w:val="00D5255D"/>
    <w:rsid w:val="00D56F33"/>
    <w:rsid w:val="00D622E2"/>
    <w:rsid w:val="00D63237"/>
    <w:rsid w:val="00D65095"/>
    <w:rsid w:val="00D65887"/>
    <w:rsid w:val="00D6641A"/>
    <w:rsid w:val="00D73370"/>
    <w:rsid w:val="00D73D48"/>
    <w:rsid w:val="00D73EAA"/>
    <w:rsid w:val="00D81882"/>
    <w:rsid w:val="00D82037"/>
    <w:rsid w:val="00D8485D"/>
    <w:rsid w:val="00D90570"/>
    <w:rsid w:val="00DB17A3"/>
    <w:rsid w:val="00DB17F9"/>
    <w:rsid w:val="00DB19AA"/>
    <w:rsid w:val="00DB3948"/>
    <w:rsid w:val="00DB51A2"/>
    <w:rsid w:val="00DC0904"/>
    <w:rsid w:val="00DC52A4"/>
    <w:rsid w:val="00DC5600"/>
    <w:rsid w:val="00DD05B9"/>
    <w:rsid w:val="00DD3261"/>
    <w:rsid w:val="00DD4897"/>
    <w:rsid w:val="00DD694D"/>
    <w:rsid w:val="00DE334C"/>
    <w:rsid w:val="00DE3605"/>
    <w:rsid w:val="00DE55D3"/>
    <w:rsid w:val="00DE7105"/>
    <w:rsid w:val="00DE7A4F"/>
    <w:rsid w:val="00DF431C"/>
    <w:rsid w:val="00DF4836"/>
    <w:rsid w:val="00DF4ECA"/>
    <w:rsid w:val="00DF660C"/>
    <w:rsid w:val="00E00888"/>
    <w:rsid w:val="00E01B94"/>
    <w:rsid w:val="00E02615"/>
    <w:rsid w:val="00E02B74"/>
    <w:rsid w:val="00E03B46"/>
    <w:rsid w:val="00E049DB"/>
    <w:rsid w:val="00E050D8"/>
    <w:rsid w:val="00E10DBC"/>
    <w:rsid w:val="00E27587"/>
    <w:rsid w:val="00E42F8D"/>
    <w:rsid w:val="00E43CB5"/>
    <w:rsid w:val="00E452A8"/>
    <w:rsid w:val="00E47B49"/>
    <w:rsid w:val="00E52D85"/>
    <w:rsid w:val="00E53C9D"/>
    <w:rsid w:val="00E53D62"/>
    <w:rsid w:val="00E54A82"/>
    <w:rsid w:val="00E553B1"/>
    <w:rsid w:val="00E626C5"/>
    <w:rsid w:val="00E65B95"/>
    <w:rsid w:val="00E70855"/>
    <w:rsid w:val="00E72684"/>
    <w:rsid w:val="00E74117"/>
    <w:rsid w:val="00E7599B"/>
    <w:rsid w:val="00E760F0"/>
    <w:rsid w:val="00E7797C"/>
    <w:rsid w:val="00E80807"/>
    <w:rsid w:val="00E8258B"/>
    <w:rsid w:val="00E84F6B"/>
    <w:rsid w:val="00E916CC"/>
    <w:rsid w:val="00E95DAB"/>
    <w:rsid w:val="00EA0247"/>
    <w:rsid w:val="00EA0FEA"/>
    <w:rsid w:val="00EB31A6"/>
    <w:rsid w:val="00EB63A5"/>
    <w:rsid w:val="00EB69FE"/>
    <w:rsid w:val="00EC450C"/>
    <w:rsid w:val="00ED039E"/>
    <w:rsid w:val="00ED4E80"/>
    <w:rsid w:val="00ED5EBF"/>
    <w:rsid w:val="00EE22F0"/>
    <w:rsid w:val="00EE7D32"/>
    <w:rsid w:val="00EF3E8B"/>
    <w:rsid w:val="00EF409F"/>
    <w:rsid w:val="00EF422E"/>
    <w:rsid w:val="00EF4862"/>
    <w:rsid w:val="00EF7E79"/>
    <w:rsid w:val="00F0685F"/>
    <w:rsid w:val="00F07209"/>
    <w:rsid w:val="00F07942"/>
    <w:rsid w:val="00F117C6"/>
    <w:rsid w:val="00F14458"/>
    <w:rsid w:val="00F15068"/>
    <w:rsid w:val="00F16DB6"/>
    <w:rsid w:val="00F16F2D"/>
    <w:rsid w:val="00F20C49"/>
    <w:rsid w:val="00F25E31"/>
    <w:rsid w:val="00F33693"/>
    <w:rsid w:val="00F408F8"/>
    <w:rsid w:val="00F42F82"/>
    <w:rsid w:val="00F442E4"/>
    <w:rsid w:val="00F51F85"/>
    <w:rsid w:val="00F56440"/>
    <w:rsid w:val="00F601C6"/>
    <w:rsid w:val="00F6368C"/>
    <w:rsid w:val="00F6385C"/>
    <w:rsid w:val="00F6445E"/>
    <w:rsid w:val="00F649CA"/>
    <w:rsid w:val="00F656BE"/>
    <w:rsid w:val="00F74D4B"/>
    <w:rsid w:val="00F7540A"/>
    <w:rsid w:val="00F77563"/>
    <w:rsid w:val="00F80059"/>
    <w:rsid w:val="00F91ED1"/>
    <w:rsid w:val="00F94491"/>
    <w:rsid w:val="00F9715C"/>
    <w:rsid w:val="00F971B0"/>
    <w:rsid w:val="00FA43DE"/>
    <w:rsid w:val="00FB172A"/>
    <w:rsid w:val="00FB39AD"/>
    <w:rsid w:val="00FB581D"/>
    <w:rsid w:val="00FC5881"/>
    <w:rsid w:val="00FD166D"/>
    <w:rsid w:val="00FD7FF5"/>
    <w:rsid w:val="00FE07D8"/>
    <w:rsid w:val="00FE3C1E"/>
    <w:rsid w:val="00FE5468"/>
    <w:rsid w:val="00FE5DE6"/>
    <w:rsid w:val="00FE6D25"/>
    <w:rsid w:val="00FE756F"/>
    <w:rsid w:val="00FF1697"/>
    <w:rsid w:val="00FF1BAF"/>
    <w:rsid w:val="00FF2603"/>
    <w:rsid w:val="00FF5613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5295</Characters>
  <Application>Microsoft Office Word</Application>
  <DocSecurity>0</DocSecurity>
  <Lines>44</Lines>
  <Paragraphs>12</Paragraphs>
  <ScaleCrop>false</ScaleCrop>
  <Company>Администрация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2015-03-06T08:25:00Z</dcterms:created>
  <dcterms:modified xsi:type="dcterms:W3CDTF">2015-03-06T08:26:00Z</dcterms:modified>
</cp:coreProperties>
</file>