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09837CAC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3B43D9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3D9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3B43D9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3B43D9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Мирнинский район, Республика Саха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>
        <w:rPr>
          <w:rFonts w:ascii="Bookman Old Style" w:hAnsi="Bookman Old Style"/>
          <w:b/>
          <w:sz w:val="18"/>
          <w:szCs w:val="18"/>
        </w:rPr>
        <w:t>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>), 678188</w:t>
      </w:r>
    </w:p>
    <w:p w14:paraId="36DFB11F" w14:textId="77777777" w:rsidR="00CE2C63" w:rsidRPr="00591026" w:rsidRDefault="003B43D9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74D4245A" w:rsidR="003F705E" w:rsidRPr="008D3973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-7</w:t>
      </w:r>
      <w:r w:rsidR="00841FE9">
        <w:t>0</w:t>
      </w:r>
      <w:r>
        <w:t>, тел.</w:t>
      </w:r>
      <w:r w:rsidRPr="008D3973">
        <w:t xml:space="preserve"> (41136) 5-25-</w:t>
      </w:r>
      <w:proofErr w:type="gramStart"/>
      <w:r w:rsidRPr="008D3973">
        <w:t xml:space="preserve">70;  </w:t>
      </w:r>
      <w:r>
        <w:rPr>
          <w:lang w:val="en-US"/>
        </w:rPr>
        <w:t>E</w:t>
      </w:r>
      <w:r w:rsidRPr="008D3973">
        <w:t>-</w:t>
      </w:r>
      <w:r>
        <w:rPr>
          <w:lang w:val="en-US"/>
        </w:rPr>
        <w:t>mail</w:t>
      </w:r>
      <w:proofErr w:type="gramEnd"/>
      <w:r w:rsidRPr="008D3973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8D3973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8D3973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8D3973">
          <w:rPr>
            <w:rStyle w:val="a3"/>
          </w:rPr>
          <w:t>.</w:t>
        </w:r>
        <w:proofErr w:type="spellStart"/>
        <w:r w:rsidRPr="00A00DB9">
          <w:rPr>
            <w:rStyle w:val="a3"/>
            <w:lang w:val="en-US"/>
          </w:rPr>
          <w:t>ru</w:t>
        </w:r>
        <w:proofErr w:type="spellEnd"/>
      </w:hyperlink>
      <w:r w:rsidRPr="008D3973">
        <w:t xml:space="preserve"> </w:t>
      </w:r>
    </w:p>
    <w:p w14:paraId="2306FC38" w14:textId="3F5526E1" w:rsidR="00EA01E6" w:rsidRDefault="004D7179" w:rsidP="004D7179">
      <w:pPr>
        <w:tabs>
          <w:tab w:val="left" w:pos="-284"/>
          <w:tab w:val="left" w:pos="1035"/>
        </w:tabs>
        <w:ind w:lef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AC0F5FA" w14:textId="7758C192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3D59AA25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«____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_________20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______</w:t>
      </w:r>
      <w:r w:rsidR="00841FE9">
        <w:rPr>
          <w:b/>
          <w:sz w:val="22"/>
          <w:szCs w:val="22"/>
        </w:rPr>
        <w:t>___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3C9ECF2C" w14:textId="5B708322" w:rsidR="00841FE9" w:rsidRDefault="00412B2C" w:rsidP="00156146">
      <w:pPr>
        <w:tabs>
          <w:tab w:val="left" w:pos="1035"/>
        </w:tabs>
        <w:rPr>
          <w:b/>
          <w:sz w:val="22"/>
          <w:szCs w:val="22"/>
        </w:rPr>
      </w:pPr>
      <w:bookmarkStart w:id="0" w:name="_Hlk82265959"/>
      <w:r>
        <w:rPr>
          <w:rFonts w:eastAsia="Calibri"/>
          <w:b/>
          <w:sz w:val="24"/>
          <w:szCs w:val="24"/>
        </w:rPr>
        <w:t xml:space="preserve">Об утверждении </w:t>
      </w:r>
      <w:r w:rsidR="008D3973"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>дминистративн</w:t>
      </w:r>
      <w:r>
        <w:rPr>
          <w:rFonts w:eastAsia="Calibri"/>
          <w:b/>
          <w:sz w:val="24"/>
          <w:szCs w:val="24"/>
        </w:rPr>
        <w:t>ого</w:t>
      </w:r>
      <w:r w:rsidR="00841FE9">
        <w:rPr>
          <w:rFonts w:eastAsia="Calibri"/>
          <w:b/>
          <w:sz w:val="24"/>
          <w:szCs w:val="24"/>
        </w:rPr>
        <w:t xml:space="preserve"> регламент</w:t>
      </w:r>
      <w:r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 xml:space="preserve"> </w:t>
      </w:r>
    </w:p>
    <w:p w14:paraId="7D3196F1" w14:textId="77777777" w:rsidR="004D7179" w:rsidRDefault="004D7179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4D7179">
        <w:rPr>
          <w:rFonts w:eastAsia="Calibri"/>
          <w:b/>
          <w:sz w:val="24"/>
          <w:szCs w:val="24"/>
        </w:rPr>
        <w:t>предоставления муниципальной услуги</w:t>
      </w:r>
    </w:p>
    <w:p w14:paraId="5F9239F0" w14:textId="77777777" w:rsidR="003B43D9" w:rsidRDefault="004D7179" w:rsidP="003B43D9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4D7179">
        <w:rPr>
          <w:rFonts w:eastAsia="Calibri"/>
          <w:b/>
          <w:sz w:val="24"/>
          <w:szCs w:val="24"/>
        </w:rPr>
        <w:t>«</w:t>
      </w:r>
      <w:r w:rsidR="003B43D9" w:rsidRPr="003B43D9">
        <w:rPr>
          <w:rFonts w:eastAsia="Calibri"/>
          <w:b/>
          <w:sz w:val="24"/>
          <w:szCs w:val="24"/>
        </w:rPr>
        <w:t>Предварительное согласование предоставления</w:t>
      </w:r>
    </w:p>
    <w:p w14:paraId="69684711" w14:textId="77777777" w:rsidR="003B43D9" w:rsidRDefault="003B43D9" w:rsidP="003B43D9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3B43D9">
        <w:rPr>
          <w:rFonts w:eastAsia="Calibri"/>
          <w:b/>
          <w:sz w:val="24"/>
          <w:szCs w:val="24"/>
        </w:rPr>
        <w:t>земельного участка, расположенного на территории</w:t>
      </w:r>
    </w:p>
    <w:p w14:paraId="6206F26C" w14:textId="77777777" w:rsidR="003B43D9" w:rsidRDefault="003B43D9" w:rsidP="003B43D9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3B43D9">
        <w:rPr>
          <w:rFonts w:eastAsia="Calibri"/>
          <w:b/>
          <w:sz w:val="24"/>
          <w:szCs w:val="24"/>
        </w:rPr>
        <w:t>муниципального образования «Город Удачный»</w:t>
      </w:r>
    </w:p>
    <w:p w14:paraId="60CFCF7C" w14:textId="77777777" w:rsidR="003B43D9" w:rsidRDefault="003B43D9" w:rsidP="003B43D9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3B43D9">
        <w:rPr>
          <w:rFonts w:eastAsia="Calibri"/>
          <w:b/>
          <w:sz w:val="24"/>
          <w:szCs w:val="24"/>
        </w:rPr>
        <w:t>Мирнинского района Республики Саха (Якутия),</w:t>
      </w:r>
    </w:p>
    <w:p w14:paraId="2AC02D28" w14:textId="1F57BC6A" w:rsidR="004B1A97" w:rsidRPr="00F84710" w:rsidRDefault="003B43D9" w:rsidP="003B43D9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3B43D9">
        <w:rPr>
          <w:rFonts w:eastAsia="Calibri"/>
          <w:b/>
          <w:sz w:val="24"/>
          <w:szCs w:val="24"/>
        </w:rPr>
        <w:t>государственная собственность на которые не разграничена</w:t>
      </w:r>
      <w:r w:rsidR="0001223C">
        <w:rPr>
          <w:b/>
          <w:bCs/>
          <w:sz w:val="24"/>
          <w:szCs w:val="24"/>
        </w:rPr>
        <w:t>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080D75E1" w:rsidR="003454CD" w:rsidRPr="00F84710" w:rsidRDefault="003454CD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="003F705E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</w:t>
      </w:r>
      <w:r w:rsidR="00412B2C">
        <w:rPr>
          <w:rFonts w:eastAsia="Calibri"/>
          <w:sz w:val="24"/>
          <w:szCs w:val="24"/>
          <w:lang w:eastAsia="en-US"/>
        </w:rPr>
        <w:t xml:space="preserve"> июня </w:t>
      </w:r>
      <w:r w:rsidR="00841FE9" w:rsidRPr="00841FE9">
        <w:rPr>
          <w:rFonts w:eastAsia="Calibri"/>
          <w:sz w:val="24"/>
          <w:szCs w:val="24"/>
          <w:lang w:eastAsia="en-US"/>
        </w:rPr>
        <w:t>2020</w:t>
      </w:r>
      <w:r w:rsidR="00412B2C">
        <w:rPr>
          <w:rFonts w:eastAsia="Calibri"/>
          <w:sz w:val="24"/>
          <w:szCs w:val="24"/>
          <w:lang w:eastAsia="en-US"/>
        </w:rPr>
        <w:t xml:space="preserve"> года</w:t>
      </w:r>
      <w:r w:rsidR="00841FE9" w:rsidRPr="00841FE9">
        <w:rPr>
          <w:rFonts w:eastAsia="Calibri"/>
          <w:sz w:val="24"/>
          <w:szCs w:val="24"/>
          <w:lang w:eastAsia="en-US"/>
        </w:rPr>
        <w:t xml:space="preserve">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3DE667DD" w14:textId="77777777" w:rsidR="00657434" w:rsidRPr="00F84710" w:rsidRDefault="00956935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6D81499C" w:rsidR="00956935" w:rsidRDefault="0001223C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8D3973">
        <w:rPr>
          <w:sz w:val="24"/>
          <w:szCs w:val="24"/>
        </w:rPr>
        <w:t xml:space="preserve">Утвердить </w:t>
      </w:r>
      <w:r w:rsidR="00850B01" w:rsidRPr="008D3973">
        <w:rPr>
          <w:sz w:val="24"/>
          <w:szCs w:val="24"/>
        </w:rPr>
        <w:t xml:space="preserve">административный регламент </w:t>
      </w:r>
      <w:r w:rsidR="004D7179">
        <w:rPr>
          <w:sz w:val="24"/>
          <w:szCs w:val="24"/>
        </w:rPr>
        <w:t>а</w:t>
      </w:r>
      <w:r w:rsidR="004D7179" w:rsidRPr="004D7179">
        <w:rPr>
          <w:sz w:val="24"/>
          <w:szCs w:val="24"/>
        </w:rPr>
        <w:t>дминистративный регламент предоставления муниципальной услуги «</w:t>
      </w:r>
      <w:r w:rsidR="003B43D9" w:rsidRPr="003B43D9">
        <w:rPr>
          <w:sz w:val="24"/>
          <w:szCs w:val="24"/>
        </w:rPr>
        <w:t>Предварительное согласование предоставления земельного участка, расположенного на территории муниципального образования «Город Удачный» Мирнинского района Республики Саха (Якутия), государственная собственность на которые не разграничена</w:t>
      </w:r>
      <w:r w:rsidR="003454CD" w:rsidRPr="008D3973">
        <w:rPr>
          <w:rFonts w:eastAsia="Calibri"/>
          <w:sz w:val="24"/>
          <w:szCs w:val="24"/>
        </w:rPr>
        <w:t>»</w:t>
      </w:r>
      <w:r w:rsidR="003F705E" w:rsidRPr="008D3973">
        <w:rPr>
          <w:rFonts w:eastAsia="Calibri"/>
          <w:sz w:val="24"/>
          <w:szCs w:val="24"/>
        </w:rPr>
        <w:t xml:space="preserve">, </w:t>
      </w:r>
      <w:r w:rsidRPr="008D3973">
        <w:rPr>
          <w:rFonts w:eastAsia="Calibri"/>
          <w:sz w:val="24"/>
          <w:szCs w:val="24"/>
        </w:rPr>
        <w:t>согласно приложению.</w:t>
      </w:r>
    </w:p>
    <w:p w14:paraId="13F1DC5C" w14:textId="177D8AED" w:rsidR="003B43D9" w:rsidRPr="003B43D9" w:rsidRDefault="003B43D9" w:rsidP="003B43D9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3B43D9">
        <w:rPr>
          <w:rFonts w:eastAsia="Calibri"/>
          <w:sz w:val="24"/>
          <w:szCs w:val="24"/>
        </w:rPr>
        <w:t xml:space="preserve">Постановление от </w:t>
      </w:r>
      <w:r w:rsidRPr="003B43D9">
        <w:rPr>
          <w:rFonts w:eastAsia="Calibri"/>
          <w:sz w:val="24"/>
          <w:szCs w:val="24"/>
        </w:rPr>
        <w:t>31.05.2016 № 154</w:t>
      </w:r>
      <w:r w:rsidRPr="003B43D9">
        <w:rPr>
          <w:rFonts w:eastAsia="Calibri"/>
          <w:sz w:val="24"/>
          <w:szCs w:val="24"/>
        </w:rPr>
        <w:t xml:space="preserve"> </w:t>
      </w:r>
      <w:r w:rsidRPr="003B43D9">
        <w:rPr>
          <w:rFonts w:eastAsia="Calibri"/>
          <w:sz w:val="24"/>
          <w:szCs w:val="24"/>
        </w:rPr>
        <w:t>«Об утверждении административного регламента предоставления администрацией</w:t>
      </w:r>
      <w:r>
        <w:rPr>
          <w:rFonts w:eastAsia="Calibri"/>
          <w:sz w:val="24"/>
          <w:szCs w:val="24"/>
        </w:rPr>
        <w:t xml:space="preserve"> </w:t>
      </w:r>
      <w:r w:rsidRPr="003B43D9">
        <w:rPr>
          <w:rFonts w:eastAsia="Calibri"/>
          <w:sz w:val="24"/>
          <w:szCs w:val="24"/>
        </w:rPr>
        <w:t>муниципального</w:t>
      </w:r>
      <w:r w:rsidRPr="003B43D9">
        <w:rPr>
          <w:rFonts w:eastAsia="Calibri"/>
          <w:sz w:val="24"/>
          <w:szCs w:val="24"/>
        </w:rPr>
        <w:t xml:space="preserve"> </w:t>
      </w:r>
      <w:r w:rsidRPr="003B43D9">
        <w:rPr>
          <w:rFonts w:eastAsia="Calibri"/>
          <w:sz w:val="24"/>
          <w:szCs w:val="24"/>
        </w:rPr>
        <w:t>образования «Город Удачный» Мирнинского района</w:t>
      </w:r>
      <w:r w:rsidRPr="003B43D9">
        <w:rPr>
          <w:rFonts w:eastAsia="Calibri"/>
          <w:sz w:val="24"/>
          <w:szCs w:val="24"/>
        </w:rPr>
        <w:t xml:space="preserve"> </w:t>
      </w:r>
      <w:r w:rsidRPr="003B43D9">
        <w:rPr>
          <w:rFonts w:eastAsia="Calibri"/>
          <w:sz w:val="24"/>
          <w:szCs w:val="24"/>
        </w:rPr>
        <w:t>Республики Саха (Якутия) муниципальной услуги «Предварительное согласование</w:t>
      </w:r>
      <w:r w:rsidRPr="003B43D9">
        <w:rPr>
          <w:rFonts w:eastAsia="Calibri"/>
          <w:sz w:val="24"/>
          <w:szCs w:val="24"/>
        </w:rPr>
        <w:t xml:space="preserve"> </w:t>
      </w:r>
      <w:r w:rsidRPr="003B43D9">
        <w:rPr>
          <w:rFonts w:eastAsia="Calibri"/>
          <w:sz w:val="24"/>
          <w:szCs w:val="24"/>
        </w:rPr>
        <w:t>предоставления</w:t>
      </w:r>
      <w:r>
        <w:rPr>
          <w:rFonts w:eastAsia="Calibri"/>
          <w:sz w:val="24"/>
          <w:szCs w:val="24"/>
        </w:rPr>
        <w:t xml:space="preserve"> </w:t>
      </w:r>
      <w:r w:rsidRPr="003B43D9">
        <w:rPr>
          <w:rFonts w:eastAsia="Calibri"/>
          <w:sz w:val="24"/>
          <w:szCs w:val="24"/>
        </w:rPr>
        <w:t>земельных участков, находящихся в муниципальной</w:t>
      </w:r>
      <w:r w:rsidRPr="003B43D9">
        <w:rPr>
          <w:rFonts w:eastAsia="Calibri"/>
          <w:sz w:val="24"/>
          <w:szCs w:val="24"/>
        </w:rPr>
        <w:t xml:space="preserve"> </w:t>
      </w:r>
      <w:r w:rsidRPr="003B43D9">
        <w:rPr>
          <w:rFonts w:eastAsia="Calibri"/>
          <w:sz w:val="24"/>
          <w:szCs w:val="24"/>
        </w:rPr>
        <w:t xml:space="preserve">собственности, или государственная собственность на которые не разграничена на территории муниципального образования «Город Удачный» </w:t>
      </w:r>
      <w:r>
        <w:rPr>
          <w:rFonts w:eastAsia="Calibri"/>
          <w:sz w:val="24"/>
          <w:szCs w:val="24"/>
        </w:rPr>
        <w:t>М</w:t>
      </w:r>
      <w:r w:rsidRPr="003B43D9">
        <w:rPr>
          <w:rFonts w:eastAsia="Calibri"/>
          <w:sz w:val="24"/>
          <w:szCs w:val="24"/>
        </w:rPr>
        <w:t>ирнинского района Республики Саха (Якутия)»</w:t>
      </w:r>
      <w:r>
        <w:rPr>
          <w:rFonts w:eastAsia="Calibri"/>
          <w:sz w:val="24"/>
          <w:szCs w:val="24"/>
        </w:rPr>
        <w:t>, считать утратившим силу.</w:t>
      </w:r>
    </w:p>
    <w:p w14:paraId="27FBB2A4" w14:textId="16F4C5EA" w:rsidR="00850B01" w:rsidRPr="008D3973" w:rsidRDefault="00850B01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8D3973">
        <w:rPr>
          <w:bCs/>
          <w:sz w:val="24"/>
          <w:szCs w:val="24"/>
        </w:rPr>
        <w:t>Опубликовать н</w:t>
      </w:r>
      <w:r w:rsidRPr="008D3973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321FDA45" w:rsidR="00850B01" w:rsidRDefault="00850B01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4187B3D9" w:rsidR="002B0126" w:rsidRPr="008D3973" w:rsidRDefault="000C60DC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Контроль исполнения данного п</w:t>
      </w:r>
      <w:r w:rsidR="00E22926" w:rsidRPr="008D3973">
        <w:rPr>
          <w:sz w:val="24"/>
          <w:szCs w:val="24"/>
        </w:rPr>
        <w:t xml:space="preserve">остановления </w:t>
      </w:r>
      <w:r w:rsidR="0001223C" w:rsidRPr="008D3973">
        <w:rPr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3C0499E6" w14:textId="77777777" w:rsidR="003B43D9" w:rsidRDefault="003B43D9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2E36B31B" w14:textId="77777777" w:rsidR="003B43D9" w:rsidRDefault="003B43D9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266C9B80" w14:textId="77777777" w:rsidR="003B43D9" w:rsidRDefault="003B43D9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0381D247" w:rsidR="002B0126" w:rsidRDefault="0001223C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            А.В. Приходько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2DE70E3B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419A6D5" w14:textId="3721F21A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72C3FCD4" w14:textId="7CA2E0C7" w:rsidR="003B43D9" w:rsidRPr="003B43D9" w:rsidRDefault="00412B2C" w:rsidP="003B43D9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 xml:space="preserve">К постановлению </w:t>
      </w:r>
      <w:r w:rsidR="003B43D9" w:rsidRPr="003B43D9">
        <w:rPr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3B43D9">
        <w:rPr>
          <w:sz w:val="24"/>
          <w:szCs w:val="24"/>
        </w:rPr>
        <w:t xml:space="preserve"> </w:t>
      </w:r>
      <w:r w:rsidR="003B43D9" w:rsidRPr="003B43D9">
        <w:rPr>
          <w:sz w:val="24"/>
          <w:szCs w:val="24"/>
        </w:rPr>
        <w:t>«Предварительное согласование предоставления</w:t>
      </w:r>
      <w:r w:rsidR="003B43D9">
        <w:rPr>
          <w:sz w:val="24"/>
          <w:szCs w:val="24"/>
        </w:rPr>
        <w:t xml:space="preserve"> </w:t>
      </w:r>
      <w:r w:rsidR="003B43D9" w:rsidRPr="003B43D9">
        <w:rPr>
          <w:sz w:val="24"/>
          <w:szCs w:val="24"/>
        </w:rPr>
        <w:t>земельного участка, расположенного на территории</w:t>
      </w:r>
      <w:r w:rsidR="003B43D9">
        <w:rPr>
          <w:sz w:val="24"/>
          <w:szCs w:val="24"/>
        </w:rPr>
        <w:t xml:space="preserve"> </w:t>
      </w:r>
      <w:r w:rsidR="003B43D9" w:rsidRPr="003B43D9">
        <w:rPr>
          <w:sz w:val="24"/>
          <w:szCs w:val="24"/>
        </w:rPr>
        <w:t>муниципального образования «Город Удачный»</w:t>
      </w:r>
    </w:p>
    <w:p w14:paraId="5B600C2C" w14:textId="0D2AE5C5" w:rsidR="002541F5" w:rsidRPr="00412B2C" w:rsidRDefault="003B43D9" w:rsidP="003B43D9">
      <w:pPr>
        <w:tabs>
          <w:tab w:val="left" w:pos="0"/>
        </w:tabs>
        <w:jc w:val="both"/>
        <w:rPr>
          <w:sz w:val="26"/>
          <w:szCs w:val="26"/>
        </w:rPr>
      </w:pPr>
      <w:r w:rsidRPr="003B43D9">
        <w:rPr>
          <w:sz w:val="24"/>
          <w:szCs w:val="24"/>
        </w:rPr>
        <w:t>Мирнинского района Республики Саха (Якутия</w:t>
      </w:r>
      <w:proofErr w:type="gramStart"/>
      <w:r w:rsidRPr="003B43D9">
        <w:rPr>
          <w:sz w:val="24"/>
          <w:szCs w:val="24"/>
        </w:rPr>
        <w:t>),государственная</w:t>
      </w:r>
      <w:proofErr w:type="gramEnd"/>
      <w:r w:rsidRPr="003B43D9">
        <w:rPr>
          <w:sz w:val="24"/>
          <w:szCs w:val="24"/>
        </w:rPr>
        <w:t xml:space="preserve"> собственность на которые не разграничена»</w:t>
      </w: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4738F9A8" w:rsidR="00773C5C" w:rsidRDefault="00773C5C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6FCE6EAE" w14:textId="77777777" w:rsidR="008D3973" w:rsidRPr="004563B1" w:rsidRDefault="008D3973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</w:p>
    <w:p w14:paraId="01F43E9D" w14:textId="77777777" w:rsidR="00412B2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Зам. главы администрации</w:t>
      </w:r>
    </w:p>
    <w:p w14:paraId="49244170" w14:textId="49F9B443" w:rsidR="00773C5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по экономике и финансам</w:t>
      </w:r>
      <w:r>
        <w:rPr>
          <w:sz w:val="24"/>
          <w:szCs w:val="24"/>
        </w:rPr>
        <w:t>_______________________________________</w:t>
      </w:r>
      <w:r w:rsidRPr="00412B2C">
        <w:rPr>
          <w:sz w:val="24"/>
          <w:szCs w:val="24"/>
        </w:rPr>
        <w:t xml:space="preserve"> Дьяконов</w:t>
      </w:r>
      <w:r>
        <w:rPr>
          <w:sz w:val="24"/>
          <w:szCs w:val="24"/>
        </w:rPr>
        <w:t>а</w:t>
      </w:r>
      <w:r w:rsidRPr="00412B2C">
        <w:rPr>
          <w:sz w:val="24"/>
          <w:szCs w:val="24"/>
        </w:rPr>
        <w:t xml:space="preserve"> Т.В.</w:t>
      </w:r>
    </w:p>
    <w:p w14:paraId="0EEF32CB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Главный специалист имущественных и</w:t>
      </w:r>
    </w:p>
    <w:p w14:paraId="097C45B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__________________________________________Н.Н. Хисматуллина</w:t>
      </w: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63FC185A" w:rsidR="002B0126" w:rsidRPr="009029E3" w:rsidRDefault="008D3973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Правовой отдел_________</w:t>
      </w:r>
      <w:r w:rsidR="002B0126" w:rsidRPr="009029E3">
        <w:rPr>
          <w:sz w:val="24"/>
          <w:szCs w:val="24"/>
        </w:rPr>
        <w:t xml:space="preserve"> ______________________________________ Ю.В. Шестакова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44603AA2" w14:textId="77777777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9029E3">
        <w:rPr>
          <w:bCs/>
          <w:sz w:val="24"/>
          <w:szCs w:val="24"/>
        </w:rPr>
        <w:t xml:space="preserve">Главный специалист по кадрам </w:t>
      </w:r>
    </w:p>
    <w:p w14:paraId="3AB625F4" w14:textId="55B9B633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 w:rsidRPr="009029E3">
        <w:rPr>
          <w:bCs/>
          <w:sz w:val="24"/>
          <w:szCs w:val="24"/>
        </w:rPr>
        <w:t>и муниципальной службе</w:t>
      </w:r>
      <w:r w:rsidRPr="009029E3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 xml:space="preserve">____А.И. </w:t>
      </w:r>
      <w:proofErr w:type="spellStart"/>
      <w:r>
        <w:rPr>
          <w:sz w:val="24"/>
          <w:szCs w:val="24"/>
        </w:rPr>
        <w:t>Барбарук</w:t>
      </w:r>
      <w:proofErr w:type="spellEnd"/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</w:t>
      </w:r>
      <w:proofErr w:type="spellStart"/>
      <w:r w:rsidRPr="00F84710">
        <w:rPr>
          <w:sz w:val="24"/>
          <w:szCs w:val="24"/>
        </w:rPr>
        <w:t>А.Т.Гайфутдинова</w:t>
      </w:r>
      <w:proofErr w:type="spellEnd"/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28D7"/>
    <w:multiLevelType w:val="hybridMultilevel"/>
    <w:tmpl w:val="083AE8CE"/>
    <w:lvl w:ilvl="0" w:tplc="1938C110">
      <w:start w:val="1"/>
      <w:numFmt w:val="decimal"/>
      <w:lvlText w:val="%1."/>
      <w:lvlJc w:val="left"/>
      <w:pPr>
        <w:ind w:left="111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B5872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507A1"/>
    <w:rsid w:val="00374459"/>
    <w:rsid w:val="003812F9"/>
    <w:rsid w:val="00387441"/>
    <w:rsid w:val="003941E6"/>
    <w:rsid w:val="00394D06"/>
    <w:rsid w:val="00397C75"/>
    <w:rsid w:val="003B157F"/>
    <w:rsid w:val="003B2055"/>
    <w:rsid w:val="003B43D9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2B2C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D7179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3973"/>
    <w:rsid w:val="008D3B11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853F7"/>
    <w:rsid w:val="009A74D9"/>
    <w:rsid w:val="009E11CF"/>
    <w:rsid w:val="009E5FA2"/>
    <w:rsid w:val="00A00DB9"/>
    <w:rsid w:val="00A01828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12B2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01E6"/>
    <w:rsid w:val="00EA2A09"/>
    <w:rsid w:val="00EA3478"/>
    <w:rsid w:val="00EB2A1F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3662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36</cp:revision>
  <cp:lastPrinted>2021-10-02T02:11:00Z</cp:lastPrinted>
  <dcterms:created xsi:type="dcterms:W3CDTF">2015-11-11T00:20:00Z</dcterms:created>
  <dcterms:modified xsi:type="dcterms:W3CDTF">2021-10-02T02:11:00Z</dcterms:modified>
</cp:coreProperties>
</file>