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5ED7" w14:textId="77777777" w:rsidR="00DA66D7" w:rsidRPr="00DA66D7" w:rsidRDefault="00DA66D7" w:rsidP="00DA66D7">
      <w:pPr>
        <w:spacing w:after="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b/>
          <w:bCs/>
          <w:color w:val="161616"/>
          <w:sz w:val="24"/>
          <w:szCs w:val="24"/>
          <w:shd w:val="clear" w:color="auto" w:fill="FFFFFF"/>
          <w:lang w:eastAsia="ru-RU"/>
        </w:rPr>
        <w:t>Ответы на вопросы потребителей по установке общедомовых приборов учета</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2179"/>
        <w:gridCol w:w="7211"/>
        <w:gridCol w:w="21"/>
      </w:tblGrid>
      <w:tr w:rsidR="00DA66D7" w:rsidRPr="00DA66D7" w14:paraId="7A117A69"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5801D360" w14:textId="78AD0241"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color w:val="161616"/>
                <w:sz w:val="24"/>
                <w:szCs w:val="24"/>
                <w:lang w:eastAsia="ru-RU"/>
              </w:rPr>
              <w:br/>
            </w:r>
            <w:r w:rsidRPr="00DA66D7">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6DF5E"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3FCA7"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074E7"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1771A272"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0B920CB4"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00EC"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Почему собственники должны платить за установку ОДПУ?</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4C08"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Собственники помещений обязаны нести расходы на установку приборов учета в соответствии с пунктом 12 статьи 13 Федерального закона № 261 «Об энергоснабжении».</w:t>
            </w:r>
            <w:r w:rsidRPr="00DA66D7">
              <w:rPr>
                <w:rFonts w:ascii="Times New Roman" w:eastAsia="Times New Roman" w:hAnsi="Times New Roman" w:cs="Times New Roman"/>
                <w:sz w:val="24"/>
                <w:szCs w:val="24"/>
                <w:lang w:eastAsia="ru-RU"/>
              </w:rPr>
              <w:br/>
              <w:t>При этом собственники, не исполнившие в установленный срок обязанности по оснащение домов приборами учета, обязаны возместить расходы на их установку, ресурсоснабжающей организации (ООО «ПТВС»). Граждане возмещают эти расходы единовременно или ежемесячно равными долями в течение пяти лет с даты установки узлов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F90C4"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42008179"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7D71B0D3"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97E73"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Почему ОДПУ устанавливаются без ведома жителей?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4B58D"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Согласно Федеральному закону № 261 «Об энергосбережении...» расчеты за энергетические ресурсы должны осуществляться на основании данных об их количественном значении, определенных посредством приборов учета. В законе четко определены крайние сроки установки счетчиков энергетических ресурсов: собственники жилья обязаны установить коллективный прибор учета до 1 июля 2012 года. Если жители сами не организовали такую установку, то обязанность организовать установку приборов возлагается, согласно статье 13 названного закона, на ресурсоснабжающие организации. При этом закон обязывает РСО устанавливать ОДПУ, невзирая на мнение жителей, так как срок самостоятельной установки истек.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5CFC4"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63D68E2B"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2873CEAF"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CCD3D"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Как рассчитывается платеж по установке ОДПУ на квартиру?</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A89CF"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Сумма расходов за установку приборов учета, подлежащая возмещению собственников, определяются в зависимости от доли в праве общей собственности на общее имущество дома. Другими словами, определяется как доля вашей квартиры или принадлежащего вам нежилого помещения в общей площади дома. То есть, распределение между собственниками подлежащей возмещению суммы производится пропорционально площади квартиры или нежилого помещения, а не количеству квартир. Указанный порядок определен в п.38(1) Постановления Правительства РФ № 491 от 13.08.2006 и ст.37 Жилищного кодекса РФ.</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58C5D"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1A6CFC91"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39190547"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C3FB9"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Почему было решено закупить именно этот тип ОДПУ, какая организация производила монтаж ОДПУ, почему именно эта организация производила монтаж ОДПУ, почему по такой стоимости были приобретены ОДПУ?</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56842"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В целях приобретения ОДПУ была проведена закупочная процедура в соответствии с Федеральным законом № 223 «О закупках …». При этом выбор типа ОДПУ проводился в соответствии с разработанными проектами. Проведен открытый конкурентный закуп по наименьшей стоимости товара, работы, услуги. Победителем проведённой закупочной процедуры является ООО «Аврора». С данной организацией был подписан договор на установку узлов учета тепловой энергии, горячего водоснабжения и холодного водоснабжения. Стоимость узла учета определена из договора, заключенного на лучших предложенных условиях.</w:t>
            </w:r>
            <w:r w:rsidRPr="00DA66D7">
              <w:rPr>
                <w:rFonts w:ascii="Times New Roman" w:eastAsia="Times New Roman" w:hAnsi="Times New Roman" w:cs="Times New Roman"/>
                <w:sz w:val="24"/>
                <w:szCs w:val="24"/>
                <w:lang w:eastAsia="ru-RU"/>
              </w:rPr>
              <w:br/>
              <w:t>Основным критерием конкурса была общая сумма контракта. То есть главным условиям было то, чтобы общая стоимость узлов учета была наименьшей.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93D3"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45F4777B" w14:textId="77777777" w:rsidTr="00DA66D7">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220444"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0A8A61"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Зачем нужен общедомовой счетчик?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6B97BD"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Установка общедомового прибора позволит собственникам: перейти на оплату за фактическую величину потребленного ресурса (по ГВС - начиная с месяца - за который будут предоставлены показания данных приборов учета, по отоплению - по истечении календарного года)</w:t>
            </w:r>
            <w:r w:rsidRPr="00DA66D7">
              <w:rPr>
                <w:rFonts w:ascii="Times New Roman" w:eastAsia="Times New Roman" w:hAnsi="Times New Roman" w:cs="Times New Roman"/>
                <w:sz w:val="24"/>
                <w:szCs w:val="24"/>
                <w:lang w:eastAsia="ru-RU"/>
              </w:rPr>
              <w:br/>
              <w:t>• контролировать соответствие параметров предоставляемых ресурсов нормативным показателям;</w:t>
            </w:r>
            <w:r w:rsidRPr="00DA66D7">
              <w:rPr>
                <w:rFonts w:ascii="Times New Roman" w:eastAsia="Times New Roman" w:hAnsi="Times New Roman" w:cs="Times New Roman"/>
                <w:sz w:val="24"/>
                <w:szCs w:val="24"/>
                <w:lang w:eastAsia="ru-RU"/>
              </w:rPr>
              <w:br/>
              <w:t>• фиксировать факты утечки в системах водо- и теплоснабжения жилого дома;</w:t>
            </w:r>
            <w:r w:rsidRPr="00DA66D7">
              <w:rPr>
                <w:rFonts w:ascii="Times New Roman" w:eastAsia="Times New Roman" w:hAnsi="Times New Roman" w:cs="Times New Roman"/>
                <w:sz w:val="24"/>
                <w:szCs w:val="24"/>
                <w:lang w:eastAsia="ru-RU"/>
              </w:rPr>
              <w:br/>
              <w:t>• исключить потери воды до дома при расчетах с ресурсоснабжающими организациями - убытки за потери на магистральных сетях будут нести ресурсоснабжающие организации;</w:t>
            </w:r>
          </w:p>
          <w:p w14:paraId="0BA8E1BD"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обязать компенсировать потери ресурсов в домовых сетях свою управляющую компанию в случае, если все собственники жилья установят индивидуальные приборы учета;</w:t>
            </w:r>
            <w:r w:rsidRPr="00DA66D7">
              <w:rPr>
                <w:rFonts w:ascii="Times New Roman" w:eastAsia="Times New Roman" w:hAnsi="Times New Roman" w:cs="Times New Roman"/>
                <w:sz w:val="24"/>
                <w:szCs w:val="24"/>
                <w:lang w:eastAsia="ru-RU"/>
              </w:rPr>
              <w:br/>
              <w:t>• получить реальные возможности для ресурсосбережения.</w:t>
            </w:r>
            <w:r w:rsidRPr="00DA66D7">
              <w:rPr>
                <w:rFonts w:ascii="Times New Roman" w:eastAsia="Times New Roman" w:hAnsi="Times New Roman" w:cs="Times New Roman"/>
                <w:sz w:val="24"/>
                <w:szCs w:val="24"/>
                <w:lang w:eastAsia="ru-RU"/>
              </w:rPr>
              <w:br/>
              <w:t>Как бы то ни было, установка узлов учёта в соответствии с Федеральным законом№261 «Об энергосбережении …» является обязанностью собственников помещений МКД.</w:t>
            </w:r>
            <w:r w:rsidRPr="00DA66D7">
              <w:rPr>
                <w:rFonts w:ascii="Times New Roman" w:eastAsia="Times New Roman" w:hAnsi="Times New Roman" w:cs="Times New Roman"/>
                <w:sz w:val="24"/>
                <w:szCs w:val="24"/>
                <w:lang w:eastAsia="ru-RU"/>
              </w:rPr>
              <w:br/>
              <w:t>I. ОДПУ ГВС</w:t>
            </w:r>
            <w:r w:rsidRPr="00DA66D7">
              <w:rPr>
                <w:rFonts w:ascii="Times New Roman" w:eastAsia="Times New Roman" w:hAnsi="Times New Roman" w:cs="Times New Roman"/>
                <w:sz w:val="24"/>
                <w:szCs w:val="24"/>
                <w:lang w:eastAsia="ru-RU"/>
              </w:rPr>
              <w:br/>
              <w:t>Общедомовые приборы учёта горячего водоснабжения должны быть переданы в эксплуатацию (это означает их документальное оформление в качестве приборов учёта, по показаниям которых осуществляется расчёт размера платы за коммунальные услуги) исполнителям коммунальных услуг (управляющей компании, ТСЖ, иной обслуживающей организации) в течение 30 дней после установки (приёма- передачи).</w:t>
            </w:r>
            <w:r w:rsidRPr="00DA66D7">
              <w:rPr>
                <w:rFonts w:ascii="Times New Roman" w:eastAsia="Times New Roman" w:hAnsi="Times New Roman" w:cs="Times New Roman"/>
                <w:sz w:val="24"/>
                <w:szCs w:val="24"/>
                <w:lang w:eastAsia="ru-RU"/>
              </w:rPr>
              <w:br/>
              <w:t>В случае, если прибор учёта установлен, принят в эксплуатацию, но при этом были выявлены явные отклонения в его работе или некорректные величины показаний, могут быть применены расчётные способы определения объёмов потребляемого коммунального ресурса исходя из нормативов - до устранения дефектов производителем.</w:t>
            </w:r>
            <w:r w:rsidRPr="00DA66D7">
              <w:rPr>
                <w:rFonts w:ascii="Times New Roman" w:eastAsia="Times New Roman" w:hAnsi="Times New Roman" w:cs="Times New Roman"/>
                <w:sz w:val="24"/>
                <w:szCs w:val="24"/>
                <w:lang w:eastAsia="ru-RU"/>
              </w:rPr>
              <w:br/>
              <w:t>Иными словами, текущие показания общедомового прибора учета горячей воды должен использоваться в расчетах сразу с момента постановки прибора на коммерческий учет.</w:t>
            </w:r>
            <w:r w:rsidRPr="00DA66D7">
              <w:rPr>
                <w:rFonts w:ascii="Times New Roman" w:eastAsia="Times New Roman" w:hAnsi="Times New Roman" w:cs="Times New Roman"/>
                <w:sz w:val="24"/>
                <w:szCs w:val="24"/>
                <w:lang w:eastAsia="ru-RU"/>
              </w:rPr>
              <w:br/>
              <w:t>II. ОДПУ Отопления</w:t>
            </w:r>
            <w:r w:rsidRPr="00DA66D7">
              <w:rPr>
                <w:rFonts w:ascii="Times New Roman" w:eastAsia="Times New Roman" w:hAnsi="Times New Roman" w:cs="Times New Roman"/>
                <w:sz w:val="24"/>
                <w:szCs w:val="24"/>
                <w:lang w:eastAsia="ru-RU"/>
              </w:rPr>
              <w:br/>
              <w:t>Что касается общих приборов учёта тепла, то действует порядок расчетов исходя из среднемесячных показаний прибора за предыдущий год.</w:t>
            </w:r>
            <w:r w:rsidRPr="00DA66D7">
              <w:rPr>
                <w:rFonts w:ascii="Times New Roman" w:eastAsia="Times New Roman" w:hAnsi="Times New Roman" w:cs="Times New Roman"/>
                <w:sz w:val="24"/>
                <w:szCs w:val="24"/>
                <w:lang w:eastAsia="ru-RU"/>
              </w:rPr>
              <w:br/>
              <w:t>Таким образом, при наличии показаний прибора учёта тепловой энергии за полный год размер платы за отопление в следующем году будет рассчитан исходя из среднемесячных объёмов потребления тепловой энергии за предыдущий год, то есть в течение года жителям будет выставляться 1/12 часть показаний прибора учёта за предыдущий год. По итогам года производится корректировка размера платы по отоплению до фактически отпущенной тепловой энергии.</w:t>
            </w:r>
            <w:r w:rsidRPr="00DA66D7">
              <w:rPr>
                <w:rFonts w:ascii="Times New Roman" w:eastAsia="Times New Roman" w:hAnsi="Times New Roman" w:cs="Times New Roman"/>
                <w:sz w:val="24"/>
                <w:szCs w:val="24"/>
                <w:lang w:eastAsia="ru-RU"/>
              </w:rPr>
              <w:br/>
              <w:t>Иными словами, в отношении отопления показания прибора учитываются по истечении календарного года после постановки на коммерческий учет.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CC5A"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7141D9A9" w14:textId="77777777" w:rsidTr="00DA66D7">
        <w:tc>
          <w:tcPr>
            <w:tcW w:w="0" w:type="auto"/>
            <w:vMerge/>
            <w:tcBorders>
              <w:top w:val="outset" w:sz="6" w:space="0" w:color="auto"/>
              <w:left w:val="outset" w:sz="6" w:space="0" w:color="auto"/>
              <w:bottom w:val="outset" w:sz="6" w:space="0" w:color="auto"/>
              <w:right w:val="outset" w:sz="6" w:space="0" w:color="auto"/>
            </w:tcBorders>
            <w:vAlign w:val="center"/>
            <w:hideMark/>
          </w:tcPr>
          <w:p w14:paraId="4E987AE8"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AFEC39"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062DA8"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1275E6"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257F92A3"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064811D3"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06EA6"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 xml:space="preserve">За счет каких средств содержится </w:t>
            </w:r>
            <w:r w:rsidRPr="00DA66D7">
              <w:rPr>
                <w:rFonts w:ascii="Times New Roman" w:eastAsia="Times New Roman" w:hAnsi="Times New Roman" w:cs="Times New Roman"/>
                <w:sz w:val="24"/>
                <w:szCs w:val="24"/>
                <w:lang w:eastAsia="ru-RU"/>
              </w:rPr>
              <w:lastRenderedPageBreak/>
              <w:t>общедомовой прибор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1831C"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lastRenderedPageBreak/>
              <w:t xml:space="preserve">Согласно подпункту "к" пункта 11 Правил N 491 от 13.08.2006 года, содержание общего имущества включает в себя в том числе </w:t>
            </w:r>
            <w:r w:rsidRPr="00DA66D7">
              <w:rPr>
                <w:rFonts w:ascii="Times New Roman" w:eastAsia="Times New Roman" w:hAnsi="Times New Roman" w:cs="Times New Roman"/>
                <w:sz w:val="24"/>
                <w:szCs w:val="24"/>
                <w:lang w:eastAsia="ru-RU"/>
              </w:rPr>
              <w:lastRenderedPageBreak/>
              <w:t>обеспечение исполнителем надлежащей эксплуатации (осмотры, техническое обслуживание, поверка приборов учета и т.д.) коллективных (общедомовых) приборов учета потребляемых ресурсов.</w:t>
            </w:r>
            <w:r w:rsidRPr="00DA66D7">
              <w:rPr>
                <w:rFonts w:ascii="Times New Roman" w:eastAsia="Times New Roman" w:hAnsi="Times New Roman" w:cs="Times New Roman"/>
                <w:sz w:val="24"/>
                <w:szCs w:val="24"/>
                <w:lang w:eastAsia="ru-RU"/>
              </w:rPr>
              <w:br/>
              <w:t>Таким образом,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обязанность собственников по обеспечению надлежащей эксплуатации этих приборов учета переходит к лицу, ответственному за содержание общего имущества в многоквартирном доме за счет платы за содержание жилого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BAD6"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5D2214A8"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2A294A76"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A6324"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Из каких средств восстанавливается прибор учета. если он был утрачен из-за необеспечения сохранности или в связи с невозможностью восстановления?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A207D"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В случае если работы по восстановлению работоспособности прибора учета будут капитального характера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то финансирование таких расходов осуществляется за счет взносов на капитальный ремонт общего имущества в многоквартирном доме.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D2F08"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4B3D5891"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7F7F4732"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B4505"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Почему перерасчет только в декабре? В летний период начислений не должно быть. И если продадут квартиру в середине года, как будет произведен возврат излишне оплаченной суммы. Почему не могут проводится начисления по ОДПУ по отоплению ежемесячно или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3B466"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Перерасчет за теплоснабжение проводится один раз в год в соответствии с Правилами № 354 от 06.05.2011 года. Решение об изменении порядка оплаты коммунальных услуг принимается органами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C6FE4"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778CD530"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0B7B8B3F"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997D3"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Каким образом при проведении начислений по холодной и горячей воде по показаниям ОДПУ отделяют собственников с ИПУ и без них?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4C60"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Собственники, имеющие ИПУ рассчитываются по данным приборам, собственники без ИПУ рассчитываются по нормативу. Показания суммируются и отнимаются от показаний ОДПУ. Разница по ХВС и ГВС выставляется всем собственникам на ОДН, исходя из его доли в праве общей собственности на общее имущество.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8C6BB"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05867725"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70DB89CC"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23E96"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 xml:space="preserve">В квартире не установлены ИПУ, являюсь собственником оплату провожу по нормативу. Правомерно ли </w:t>
            </w:r>
            <w:r w:rsidRPr="00DA66D7">
              <w:rPr>
                <w:rFonts w:ascii="Times New Roman" w:eastAsia="Times New Roman" w:hAnsi="Times New Roman" w:cs="Times New Roman"/>
                <w:sz w:val="24"/>
                <w:szCs w:val="24"/>
                <w:lang w:eastAsia="ru-RU"/>
              </w:rPr>
              <w:lastRenderedPageBreak/>
              <w:t>дополнительное начисление холодной 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7D47C"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lastRenderedPageBreak/>
              <w:t>В соответствии с п. 40 Правил № 354 от 06.05.2011 года, потребитель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F8AA4"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6C4D6838"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12957773"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42250"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Как рассчитывается платеж за коммунальные услуги на ОДН на квартиру или нежилое помещение при установленных ОДПУ?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51EFF"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В соответствии с приложением №2, Формулой 11 Правил № 354 от 06.05.2011: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0E32DE81" w14:textId="77777777" w:rsidR="00DA66D7" w:rsidRPr="00DA66D7" w:rsidRDefault="00DA66D7" w:rsidP="00DA66D7">
            <w:pPr>
              <w:spacing w:after="45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                   </w:t>
            </w:r>
            <w:r w:rsidRPr="00DA66D7">
              <w:rPr>
                <w:rFonts w:ascii="Times New Roman" w:eastAsia="Times New Roman" w:hAnsi="Times New Roman" w:cs="Times New Roman"/>
                <w:noProof/>
                <w:sz w:val="24"/>
                <w:szCs w:val="24"/>
                <w:lang w:eastAsia="ru-RU"/>
              </w:rPr>
              <w:drawing>
                <wp:inline distT="0" distB="0" distL="0" distR="0" wp14:anchorId="04FD54D8" wp14:editId="05AC9F17">
                  <wp:extent cx="36576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90525"/>
                          </a:xfrm>
                          <a:prstGeom prst="rect">
                            <a:avLst/>
                          </a:prstGeom>
                          <a:noFill/>
                          <a:ln>
                            <a:noFill/>
                          </a:ln>
                        </pic:spPr>
                      </pic:pic>
                    </a:graphicData>
                  </a:graphic>
                </wp:inline>
              </w:drawing>
            </w:r>
            <w:r w:rsidRPr="00DA66D7">
              <w:rPr>
                <w:rFonts w:ascii="Times New Roman" w:eastAsia="Times New Roman" w:hAnsi="Times New Roman" w:cs="Times New Roman"/>
                <w:sz w:val="24"/>
                <w:szCs w:val="24"/>
                <w:lang w:eastAsia="ru-RU"/>
              </w:rPr>
              <w:t> </w:t>
            </w:r>
          </w:p>
          <w:p w14:paraId="508EA160"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br/>
              <w:t>где:</w:t>
            </w:r>
            <w:r w:rsidRPr="00DA66D7">
              <w:rPr>
                <w:rFonts w:ascii="Times New Roman" w:eastAsia="Times New Roman" w:hAnsi="Times New Roman" w:cs="Times New Roman"/>
                <w:sz w:val="24"/>
                <w:szCs w:val="24"/>
                <w:lang w:eastAsia="ru-RU"/>
              </w:rPr>
              <w:br/>
              <w:t>VД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A66D7">
              <w:rPr>
                <w:rFonts w:ascii="Times New Roman" w:eastAsia="Times New Roman" w:hAnsi="Times New Roman" w:cs="Times New Roman"/>
                <w:sz w:val="24"/>
                <w:szCs w:val="24"/>
                <w:lang w:eastAsia="ru-RU"/>
              </w:rPr>
              <w:br/>
              <w:t>(в ред. Постановления Правительства РФ от 26.12.2016 N 1498)</w:t>
            </w:r>
            <w:r w:rsidRPr="00DA66D7">
              <w:rPr>
                <w:rFonts w:ascii="Times New Roman" w:eastAsia="Times New Roman" w:hAnsi="Times New Roman" w:cs="Times New Roman"/>
                <w:sz w:val="24"/>
                <w:szCs w:val="24"/>
                <w:lang w:eastAsia="ru-RU"/>
              </w:rPr>
              <w:br/>
              <w:t>- объем (количество) холодной воды, потребленный за расчетный период в u-м нежилом помещении, определенный в соответствии с пунктом 43 Правил;</w:t>
            </w:r>
            <w:r w:rsidRPr="00DA66D7">
              <w:rPr>
                <w:rFonts w:ascii="Times New Roman" w:eastAsia="Times New Roman" w:hAnsi="Times New Roman" w:cs="Times New Roman"/>
                <w:sz w:val="24"/>
                <w:szCs w:val="24"/>
                <w:lang w:eastAsia="ru-RU"/>
              </w:rPr>
              <w:b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r w:rsidRPr="00DA66D7">
              <w:rPr>
                <w:rFonts w:ascii="Times New Roman" w:eastAsia="Times New Roman" w:hAnsi="Times New Roman" w:cs="Times New Roman"/>
                <w:sz w:val="24"/>
                <w:szCs w:val="24"/>
                <w:lang w:eastAsia="ru-RU"/>
              </w:rPr>
              <w:b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DA66D7">
              <w:rPr>
                <w:rFonts w:ascii="Times New Roman" w:eastAsia="Times New Roman" w:hAnsi="Times New Roman" w:cs="Times New Roman"/>
                <w:sz w:val="24"/>
                <w:szCs w:val="24"/>
                <w:lang w:eastAsia="ru-RU"/>
              </w:rPr>
              <w:b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r w:rsidRPr="00DA66D7">
              <w:rPr>
                <w:rFonts w:ascii="Times New Roman" w:eastAsia="Times New Roman" w:hAnsi="Times New Roman" w:cs="Times New Roman"/>
                <w:sz w:val="24"/>
                <w:szCs w:val="24"/>
                <w:lang w:eastAsia="ru-RU"/>
              </w:rPr>
              <w:br/>
            </w:r>
            <w:proofErr w:type="spellStart"/>
            <w:r w:rsidRPr="00DA66D7">
              <w:rPr>
                <w:rFonts w:ascii="Times New Roman" w:eastAsia="Times New Roman" w:hAnsi="Times New Roman" w:cs="Times New Roman"/>
                <w:sz w:val="24"/>
                <w:szCs w:val="24"/>
                <w:lang w:eastAsia="ru-RU"/>
              </w:rPr>
              <w:t>Vкр</w:t>
            </w:r>
            <w:proofErr w:type="spellEnd"/>
            <w:r w:rsidRPr="00DA66D7">
              <w:rPr>
                <w:rFonts w:ascii="Times New Roman" w:eastAsia="Times New Roman" w:hAnsi="Times New Roman" w:cs="Times New Roman"/>
                <w:sz w:val="24"/>
                <w:szCs w:val="24"/>
                <w:lang w:eastAsia="ru-RU"/>
              </w:rPr>
              <w:t xml:space="preserve">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r w:rsidRPr="00DA66D7">
              <w:rPr>
                <w:rFonts w:ascii="Times New Roman" w:eastAsia="Times New Roman" w:hAnsi="Times New Roman" w:cs="Times New Roman"/>
                <w:sz w:val="24"/>
                <w:szCs w:val="24"/>
                <w:lang w:eastAsia="ru-RU"/>
              </w:rPr>
              <w:br/>
            </w:r>
            <w:proofErr w:type="spellStart"/>
            <w:r w:rsidRPr="00DA66D7">
              <w:rPr>
                <w:rFonts w:ascii="Times New Roman" w:eastAsia="Times New Roman" w:hAnsi="Times New Roman" w:cs="Times New Roman"/>
                <w:sz w:val="24"/>
                <w:szCs w:val="24"/>
                <w:lang w:eastAsia="ru-RU"/>
              </w:rPr>
              <w:t>Si</w:t>
            </w:r>
            <w:proofErr w:type="spellEnd"/>
            <w:r w:rsidRPr="00DA66D7">
              <w:rPr>
                <w:rFonts w:ascii="Times New Roman" w:eastAsia="Times New Roman" w:hAnsi="Times New Roman" w:cs="Times New Roman"/>
                <w:sz w:val="24"/>
                <w:szCs w:val="24"/>
                <w:lang w:eastAsia="ru-RU"/>
              </w:rPr>
              <w:t xml:space="preserve"> - общая площадь i-го жилого помещения (квартиры) или нежилого помещения в многоквартирном доме;</w:t>
            </w:r>
          </w:p>
          <w:p w14:paraId="0AD1C7A7"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proofErr w:type="spellStart"/>
            <w:r w:rsidRPr="00DA66D7">
              <w:rPr>
                <w:rFonts w:ascii="Times New Roman" w:eastAsia="Times New Roman" w:hAnsi="Times New Roman" w:cs="Times New Roman"/>
                <w:sz w:val="24"/>
                <w:szCs w:val="24"/>
                <w:lang w:eastAsia="ru-RU"/>
              </w:rPr>
              <w:lastRenderedPageBreak/>
              <w:t>Sоб</w:t>
            </w:r>
            <w:proofErr w:type="spellEnd"/>
            <w:r w:rsidRPr="00DA66D7">
              <w:rPr>
                <w:rFonts w:ascii="Times New Roman" w:eastAsia="Times New Roman" w:hAnsi="Times New Roman" w:cs="Times New Roman"/>
                <w:sz w:val="24"/>
                <w:szCs w:val="24"/>
                <w:lang w:eastAsia="ru-RU"/>
              </w:rPr>
              <w:t xml:space="preserve"> - общая площадь всех жилых помещений (квартир) и нежилых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51B19"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1E36906A"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70A419E3"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208E2"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Куда обращаться за разъяснением по вопросам установки ОДПУ, оплаты за ОДПУ?</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BA3D7"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По данному вопросу просим обращается в ООО «ПТВС» в РКЦ п. Айхал или г. Удачный.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92B80"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42BECB2D"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2E4EEDDA"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798A4"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Кто будет собственником ОДПУ после частичной оплаты за установку? На каком основании (документ)?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79A41"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ОДПУ входит в общедомовое имущество МКД, соответственно собственники квартир являются собственниками ОДПУ соразмерно занимаемой площади. Подтверждается актом допуска в эксплуатацию узла учета.</w:t>
            </w:r>
            <w:r w:rsidRPr="00DA66D7">
              <w:rPr>
                <w:rFonts w:ascii="Times New Roman" w:eastAsia="Times New Roman" w:hAnsi="Times New Roman" w:cs="Times New Roman"/>
                <w:sz w:val="24"/>
                <w:szCs w:val="24"/>
                <w:lang w:eastAsia="ru-RU"/>
              </w:rPr>
              <w:br/>
              <w:t>Ст.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w:t>
            </w:r>
            <w:r w:rsidRPr="00DA66D7">
              <w:rPr>
                <w:rFonts w:ascii="Times New Roman" w:eastAsia="Times New Roman" w:hAnsi="Times New Roman" w:cs="Times New Roman"/>
                <w:sz w:val="24"/>
                <w:szCs w:val="24"/>
                <w:lang w:eastAsia="ru-RU"/>
              </w:rPr>
              <w:br/>
            </w:r>
            <w:proofErr w:type="spellStart"/>
            <w:r w:rsidRPr="00DA66D7">
              <w:rPr>
                <w:rFonts w:ascii="Times New Roman" w:eastAsia="Times New Roman" w:hAnsi="Times New Roman" w:cs="Times New Roman"/>
                <w:sz w:val="24"/>
                <w:szCs w:val="24"/>
                <w:lang w:eastAsia="ru-RU"/>
              </w:rPr>
              <w:t>п.п</w:t>
            </w:r>
            <w:proofErr w:type="spellEnd"/>
            <w:r w:rsidRPr="00DA66D7">
              <w:rPr>
                <w:rFonts w:ascii="Times New Roman" w:eastAsia="Times New Roman" w:hAnsi="Times New Roman" w:cs="Times New Roman"/>
                <w:sz w:val="24"/>
                <w:szCs w:val="24"/>
                <w:lang w:eastAsia="ru-RU"/>
              </w:rPr>
              <w:t>. Е(1)) п. 2 Правил № 491 от 13.08.2006 года, , в состав общего имущества включаются:</w:t>
            </w:r>
            <w:r w:rsidRPr="00DA66D7">
              <w:rPr>
                <w:rFonts w:ascii="Times New Roman" w:eastAsia="Times New Roman" w:hAnsi="Times New Roman" w:cs="Times New Roman"/>
                <w:sz w:val="24"/>
                <w:szCs w:val="24"/>
                <w:lang w:eastAsia="ru-RU"/>
              </w:rPr>
              <w:b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57ED1"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r w:rsidR="00DA66D7" w:rsidRPr="00DA66D7" w14:paraId="532D1EA4" w14:textId="77777777" w:rsidTr="00DA66D7">
        <w:tc>
          <w:tcPr>
            <w:tcW w:w="0" w:type="auto"/>
            <w:tcBorders>
              <w:top w:val="outset" w:sz="6" w:space="0" w:color="auto"/>
              <w:left w:val="outset" w:sz="6" w:space="0" w:color="auto"/>
              <w:bottom w:val="outset" w:sz="6" w:space="0" w:color="auto"/>
              <w:right w:val="outset" w:sz="6" w:space="0" w:color="auto"/>
            </w:tcBorders>
            <w:vAlign w:val="center"/>
            <w:hideMark/>
          </w:tcPr>
          <w:p w14:paraId="2C85607B" w14:textId="77777777" w:rsidR="00DA66D7" w:rsidRPr="00DA66D7" w:rsidRDefault="00DA66D7" w:rsidP="00DA66D7">
            <w:pPr>
              <w:spacing w:after="450" w:line="240" w:lineRule="auto"/>
              <w:jc w:val="center"/>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0E13"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Я работник компании «АЛРОСА», а ПТВС входит в состав «АЛРОСА» как структурное подразделение. Почему для работников «АЛРОСА» нет льгот по услугам ООО «ПТВС»?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FBC01" w14:textId="77777777" w:rsidR="00DA66D7" w:rsidRPr="00DA66D7" w:rsidRDefault="00DA66D7" w:rsidP="00DA66D7">
            <w:pPr>
              <w:spacing w:after="100" w:line="240" w:lineRule="auto"/>
              <w:rPr>
                <w:rFonts w:ascii="Times New Roman" w:eastAsia="Times New Roman" w:hAnsi="Times New Roman" w:cs="Times New Roman"/>
                <w:sz w:val="24"/>
                <w:szCs w:val="24"/>
                <w:lang w:eastAsia="ru-RU"/>
              </w:rPr>
            </w:pPr>
            <w:r w:rsidRPr="00DA66D7">
              <w:rPr>
                <w:rFonts w:ascii="Times New Roman" w:eastAsia="Times New Roman" w:hAnsi="Times New Roman" w:cs="Times New Roman"/>
                <w:sz w:val="24"/>
                <w:szCs w:val="24"/>
                <w:lang w:eastAsia="ru-RU"/>
              </w:rPr>
              <w:t>ООО «ПТВС» является дочерним обществом АК «АЛРОСА» (ПАО) с 01.01.2017 года и действует как самостоятельное юридическое лицо в рамках действующего Законодательства РФ. Действующим Законодательством РФ по данному основанию льготы не предусмотрены.</w:t>
            </w:r>
            <w:r w:rsidRPr="00DA66D7">
              <w:rPr>
                <w:rFonts w:ascii="Times New Roman" w:eastAsia="Times New Roman" w:hAnsi="Times New Roman" w:cs="Times New Roman"/>
                <w:sz w:val="24"/>
                <w:szCs w:val="24"/>
                <w:lang w:eastAsia="ru-RU"/>
              </w:rPr>
              <w:br/>
              <w:t>Для справки: ч. 13 ст. 17 Закона от 24.11.1995 N 181-ФЗ, Инвалидам и семьям, имеющим детей-инвалидов, предоставляется компенсация расходов на оплату жилых помещений и коммунальных услуг в размере 50 процентов. При этом оформление данных льгот осуществляет «Агентство субсидий», а не ООО "ПТВС".</w:t>
            </w:r>
          </w:p>
        </w:tc>
        <w:tc>
          <w:tcPr>
            <w:tcW w:w="0" w:type="auto"/>
            <w:vAlign w:val="center"/>
            <w:hideMark/>
          </w:tcPr>
          <w:p w14:paraId="166C48AF" w14:textId="77777777" w:rsidR="00DA66D7" w:rsidRPr="00DA66D7" w:rsidRDefault="00DA66D7" w:rsidP="00DA66D7">
            <w:pPr>
              <w:spacing w:after="0" w:line="240" w:lineRule="auto"/>
              <w:rPr>
                <w:rFonts w:ascii="Times New Roman" w:eastAsia="Times New Roman" w:hAnsi="Times New Roman" w:cs="Times New Roman"/>
                <w:sz w:val="24"/>
                <w:szCs w:val="24"/>
                <w:lang w:eastAsia="ru-RU"/>
              </w:rPr>
            </w:pPr>
          </w:p>
        </w:tc>
      </w:tr>
    </w:tbl>
    <w:p w14:paraId="28D8833E" w14:textId="77777777" w:rsidR="008963CB" w:rsidRPr="00DA66D7" w:rsidRDefault="008963CB" w:rsidP="00DA66D7">
      <w:pPr>
        <w:rPr>
          <w:rFonts w:ascii="Times New Roman" w:hAnsi="Times New Roman" w:cs="Times New Roman"/>
          <w:sz w:val="24"/>
          <w:szCs w:val="24"/>
        </w:rPr>
      </w:pPr>
    </w:p>
    <w:sectPr w:rsidR="008963CB" w:rsidRPr="00DA66D7" w:rsidSect="00DA66D7">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D7503"/>
    <w:multiLevelType w:val="multilevel"/>
    <w:tmpl w:val="6B1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36"/>
    <w:rsid w:val="002A41CA"/>
    <w:rsid w:val="002F6036"/>
    <w:rsid w:val="00555EB6"/>
    <w:rsid w:val="008963CB"/>
    <w:rsid w:val="00DA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E6CF"/>
  <w15:chartTrackingRefBased/>
  <w15:docId w15:val="{43D9E8FC-B71C-4775-B177-968AE69A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3001">
      <w:bodyDiv w:val="1"/>
      <w:marLeft w:val="0"/>
      <w:marRight w:val="0"/>
      <w:marTop w:val="0"/>
      <w:marBottom w:val="0"/>
      <w:divBdr>
        <w:top w:val="none" w:sz="0" w:space="0" w:color="auto"/>
        <w:left w:val="none" w:sz="0" w:space="0" w:color="auto"/>
        <w:bottom w:val="none" w:sz="0" w:space="0" w:color="auto"/>
        <w:right w:val="none" w:sz="0" w:space="0" w:color="auto"/>
      </w:divBdr>
      <w:divsChild>
        <w:div w:id="196256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8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828131">
          <w:blockQuote w:val="1"/>
          <w:marLeft w:val="720"/>
          <w:marRight w:val="720"/>
          <w:marTop w:val="100"/>
          <w:marBottom w:val="100"/>
          <w:divBdr>
            <w:top w:val="none" w:sz="0" w:space="0" w:color="auto"/>
            <w:left w:val="none" w:sz="0" w:space="0" w:color="auto"/>
            <w:bottom w:val="none" w:sz="0" w:space="0" w:color="auto"/>
            <w:right w:val="none" w:sz="0" w:space="0" w:color="auto"/>
          </w:divBdr>
        </w:div>
        <w:div w:id="5619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84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8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1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255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8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1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7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0770">
          <w:blockQuote w:val="1"/>
          <w:marLeft w:val="720"/>
          <w:marRight w:val="720"/>
          <w:marTop w:val="100"/>
          <w:marBottom w:val="100"/>
          <w:divBdr>
            <w:top w:val="none" w:sz="0" w:space="0" w:color="auto"/>
            <w:left w:val="none" w:sz="0" w:space="0" w:color="auto"/>
            <w:bottom w:val="none" w:sz="0" w:space="0" w:color="auto"/>
            <w:right w:val="none" w:sz="0" w:space="0" w:color="auto"/>
          </w:divBdr>
        </w:div>
        <w:div w:id="55878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50633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79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7265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4303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6592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463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6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47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3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2021-08-25T10:53:00Z</dcterms:created>
  <dcterms:modified xsi:type="dcterms:W3CDTF">2021-08-25T10:55:00Z</dcterms:modified>
</cp:coreProperties>
</file>