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94F7" w14:textId="77777777" w:rsidR="000D28E9" w:rsidRDefault="000D28E9" w:rsidP="000D2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Заключение об оценке эффективности налоговых расходов</w:t>
      </w:r>
    </w:p>
    <w:p w14:paraId="6F09A3D4" w14:textId="152CC44E" w:rsidR="00F51194" w:rsidRDefault="000D28E9" w:rsidP="000D2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муниципального образования «Город Удачный» за 2022 год</w:t>
      </w:r>
    </w:p>
    <w:p w14:paraId="62067947" w14:textId="77777777" w:rsidR="000D28E9" w:rsidRDefault="000D28E9" w:rsidP="000D28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406484" w14:textId="19436677" w:rsidR="000D28E9" w:rsidRDefault="000D28E9" w:rsidP="000D28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28E9">
        <w:rPr>
          <w:rFonts w:ascii="Times New Roman" w:hAnsi="Times New Roman" w:cs="Times New Roman"/>
        </w:rPr>
        <w:t>15.09.2023</w:t>
      </w:r>
    </w:p>
    <w:p w14:paraId="2FA58F8E" w14:textId="77777777" w:rsidR="000D28E9" w:rsidRDefault="000D28E9" w:rsidP="000D28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C8644EE" w14:textId="169A878A" w:rsidR="000D28E9" w:rsidRDefault="000D28E9" w:rsidP="00D328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налоговых расходов администрации МО «Город Удачный» за 2022 год осуществлена в соответствии с Постановлением Правительства РФ от 22.06.2019 № 796 «Об общих требованиях</w:t>
      </w:r>
      <w:r w:rsidR="00D32827">
        <w:rPr>
          <w:rFonts w:ascii="Times New Roman" w:hAnsi="Times New Roman" w:cs="Times New Roman"/>
        </w:rPr>
        <w:t xml:space="preserve"> к оценке налоговых расходов субъектов РФ и муниципальных образований», Порядком формирования Перечня и оценки налоговых расходов МО «Город Удачный», утвержденным постановлением  администрации МО «Город Удачный» от 29.01.2021 № 52 (с изменениями) (далее - Порядок).</w:t>
      </w:r>
    </w:p>
    <w:p w14:paraId="79AC22B4" w14:textId="4E505EC4" w:rsidR="00D32827" w:rsidRDefault="00D32827" w:rsidP="00D328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налоговых расходов МО «Город Удачный» проведена в отношении налоговых расходов по следующим видам налогов:</w:t>
      </w:r>
    </w:p>
    <w:p w14:paraId="34354555" w14:textId="03BF2900" w:rsidR="00D32827" w:rsidRDefault="00D32827" w:rsidP="00D32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налог;</w:t>
      </w:r>
    </w:p>
    <w:p w14:paraId="7D14562F" w14:textId="2CFA23FF" w:rsidR="00D32827" w:rsidRDefault="00D32827" w:rsidP="00D32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имущество физических лиц</w:t>
      </w:r>
      <w:r w:rsidR="002C35E7">
        <w:rPr>
          <w:rFonts w:ascii="Times New Roman" w:hAnsi="Times New Roman" w:cs="Times New Roman"/>
        </w:rPr>
        <w:t>.</w:t>
      </w:r>
    </w:p>
    <w:p w14:paraId="272F08B0" w14:textId="55A03566" w:rsidR="002C35E7" w:rsidRDefault="002C35E7" w:rsidP="002C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оценки эффективности налоговых расходов МО «Город Удачный» использовалась информация, предоставленная Управлением ФНС по РС(Я):</w:t>
      </w:r>
    </w:p>
    <w:p w14:paraId="320FCF51" w14:textId="7467A799" w:rsidR="002C35E7" w:rsidRDefault="002C35E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суммах налога, не поступившего в бюджет города Удачного, в связи с предоставлением налогоплательщикам налоговых льгот;</w:t>
      </w:r>
    </w:p>
    <w:p w14:paraId="50CE2BDF" w14:textId="2B12A213" w:rsidR="002C35E7" w:rsidRDefault="002C35E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количестве налогоплательщиков, воспользовавшихся льготами;</w:t>
      </w:r>
    </w:p>
    <w:p w14:paraId="30B5DE0C" w14:textId="516C7329" w:rsidR="002C35E7" w:rsidRDefault="002C35E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суммах земельного налога, подлежащего уплате в бюджет по ставкам, установленным решением городского Совета депутатов МО «Город Удачный» от 24.11.2021 № 37-4;</w:t>
      </w:r>
    </w:p>
    <w:p w14:paraId="080455EE" w14:textId="6B6D0F71" w:rsidR="002C35E7" w:rsidRDefault="002C35E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количестве налогоплательщиков, которым исчислен земельный налог к уплате</w:t>
      </w:r>
      <w:r w:rsidR="003A046D">
        <w:rPr>
          <w:rFonts w:ascii="Times New Roman" w:hAnsi="Times New Roman" w:cs="Times New Roman"/>
        </w:rPr>
        <w:t>;</w:t>
      </w:r>
    </w:p>
    <w:p w14:paraId="703BD65D" w14:textId="64C0BF01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отчет по форме 5-МН «О налоговой базе и структуре начислений по местным налогам за 2022 год.</w:t>
      </w:r>
    </w:p>
    <w:p w14:paraId="118DEF6B" w14:textId="72EC3C0F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 Порядком:</w:t>
      </w:r>
    </w:p>
    <w:p w14:paraId="177DFDB3" w14:textId="66963999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 перечень налоговых расходов МО «Город Удачный», утвержденный постановлением администрации МО «Город Удачный» от 29.11.2022 № 861.</w:t>
      </w:r>
    </w:p>
    <w:p w14:paraId="445A2E20" w14:textId="38A54A03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сформирована сводная информация о нормативных, целевых и фискальных характеристиках налоговых расходов МО «Город Удачный».</w:t>
      </w:r>
    </w:p>
    <w:p w14:paraId="1F855455" w14:textId="078CD3D6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целевой аудитории определены основные виды налоговых расходов МО «Город Удачный»: технические и социальные.</w:t>
      </w:r>
    </w:p>
    <w:p w14:paraId="70E9DDC8" w14:textId="50D6A396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оценки эффективности налоговых расходов осуществлена оценка целесообразности.</w:t>
      </w:r>
    </w:p>
    <w:p w14:paraId="43A85201" w14:textId="0DB807AC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 налоговых расходов не проведена виду того, что применяется только в отношении стимулирующих налоговых расходов.</w:t>
      </w:r>
    </w:p>
    <w:p w14:paraId="07ADBB5B" w14:textId="74D46E3C" w:rsidR="003A046D" w:rsidRDefault="003A046D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недополученных</w:t>
      </w:r>
      <w:r w:rsidR="003A7C82">
        <w:rPr>
          <w:rFonts w:ascii="Times New Roman" w:hAnsi="Times New Roman" w:cs="Times New Roman"/>
        </w:rPr>
        <w:t xml:space="preserve"> доходов местного бюджета в связи предоставлением налоговых льгот, освобождений и иных преференций по земельному налогу и налогу на имущество физических лиц за 2022 </w:t>
      </w:r>
      <w:proofErr w:type="gramStart"/>
      <w:r w:rsidR="003A7C82">
        <w:rPr>
          <w:rFonts w:ascii="Times New Roman" w:hAnsi="Times New Roman" w:cs="Times New Roman"/>
        </w:rPr>
        <w:t>год  составил</w:t>
      </w:r>
      <w:proofErr w:type="gramEnd"/>
      <w:r w:rsidR="003A7C82">
        <w:rPr>
          <w:rFonts w:ascii="Times New Roman" w:hAnsi="Times New Roman" w:cs="Times New Roman"/>
        </w:rPr>
        <w:t xml:space="preserve"> 3 136 тысяч рублей.</w:t>
      </w:r>
    </w:p>
    <w:p w14:paraId="56E11FC7" w14:textId="77777777" w:rsidR="003A7C82" w:rsidRDefault="003A7C82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53B3C4" w14:textId="293397DF" w:rsidR="003A7C82" w:rsidRPr="003A7C82" w:rsidRDefault="003A7C82" w:rsidP="003A7C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Оценка эффективности налоговых расходов по земельному налогу</w:t>
      </w:r>
    </w:p>
    <w:p w14:paraId="3403D4D6" w14:textId="77777777" w:rsidR="003A7C82" w:rsidRDefault="003A7C82" w:rsidP="003A7C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DB84CC" w14:textId="1219FF00" w:rsidR="003A7C82" w:rsidRDefault="003A7C82" w:rsidP="007116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городского Совета депутатов</w:t>
      </w:r>
      <w:r w:rsidR="0071166A">
        <w:rPr>
          <w:rFonts w:ascii="Times New Roman" w:hAnsi="Times New Roman" w:cs="Times New Roman"/>
        </w:rPr>
        <w:t xml:space="preserve"> МО «Город Удачный» от</w:t>
      </w:r>
      <w:r w:rsidR="0071166A" w:rsidRPr="0071166A">
        <w:rPr>
          <w:rFonts w:ascii="Times New Roman" w:hAnsi="Times New Roman" w:cs="Times New Roman"/>
        </w:rPr>
        <w:t xml:space="preserve"> 24.11.2021 № 37-4</w:t>
      </w:r>
      <w:r w:rsidR="0071166A">
        <w:rPr>
          <w:rFonts w:ascii="Times New Roman" w:hAnsi="Times New Roman" w:cs="Times New Roman"/>
        </w:rPr>
        <w:t xml:space="preserve"> о внесении изменений в Решение городского Совета депутатов МО «Город Удачный» от 29 ноября 2016 года № 41-1 «Об утверждении Положения о налогах и сборах муниципального образования «Город Удачный» Мирнинского района РС(Я)» (с изменениями) (далее – решение сессии</w:t>
      </w:r>
      <w:r w:rsidR="005D1B13">
        <w:rPr>
          <w:rFonts w:ascii="Times New Roman" w:hAnsi="Times New Roman" w:cs="Times New Roman"/>
        </w:rPr>
        <w:t xml:space="preserve"> городского Совета</w:t>
      </w:r>
      <w:r w:rsidR="0071166A">
        <w:rPr>
          <w:rFonts w:ascii="Times New Roman" w:hAnsi="Times New Roman" w:cs="Times New Roman"/>
        </w:rPr>
        <w:t>)</w:t>
      </w:r>
      <w:r w:rsidR="00CF0140">
        <w:rPr>
          <w:rFonts w:ascii="Times New Roman" w:hAnsi="Times New Roman" w:cs="Times New Roman"/>
        </w:rPr>
        <w:t xml:space="preserve"> установлены налоговые льготы, освобождения и иные преференции по земельному налогу для юридических и физических лиц.</w:t>
      </w:r>
    </w:p>
    <w:p w14:paraId="03871A4D" w14:textId="4BDA9B8B" w:rsidR="00CF0140" w:rsidRDefault="00CF0140" w:rsidP="007116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налоговых расходов по земельному налогу для юридических и физических лиц за 2022 год составил </w:t>
      </w:r>
      <w:r w:rsidR="008852C5">
        <w:rPr>
          <w:rFonts w:ascii="Times New Roman" w:hAnsi="Times New Roman" w:cs="Times New Roman"/>
        </w:rPr>
        <w:t>2 652</w:t>
      </w:r>
      <w:r>
        <w:rPr>
          <w:rFonts w:ascii="Times New Roman" w:hAnsi="Times New Roman" w:cs="Times New Roman"/>
        </w:rPr>
        <w:t xml:space="preserve"> тысяч рублей.</w:t>
      </w:r>
    </w:p>
    <w:p w14:paraId="68E3C8B0" w14:textId="77777777" w:rsidR="00CF0140" w:rsidRDefault="00CF0140" w:rsidP="007116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C2BF542" w14:textId="2755783B" w:rsidR="00CF0140" w:rsidRDefault="00CF0140" w:rsidP="00CF014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Структура налоговых расходов по земельному налогу</w:t>
      </w:r>
    </w:p>
    <w:p w14:paraId="2948E9C6" w14:textId="77777777" w:rsidR="00CF0140" w:rsidRDefault="00CF0140" w:rsidP="00CF014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6601"/>
        <w:gridCol w:w="1119"/>
        <w:gridCol w:w="968"/>
      </w:tblGrid>
      <w:tr w:rsidR="009D08E1" w14:paraId="3AA3963B" w14:textId="77777777" w:rsidTr="00860B12">
        <w:tc>
          <w:tcPr>
            <w:tcW w:w="657" w:type="dxa"/>
            <w:vMerge w:val="restart"/>
          </w:tcPr>
          <w:p w14:paraId="4847A122" w14:textId="03C014ED" w:rsidR="009D08E1" w:rsidRPr="00241063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  <w:r w:rsidRPr="002410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01" w:type="dxa"/>
            <w:vMerge w:val="restart"/>
          </w:tcPr>
          <w:p w14:paraId="7EFD7D93" w14:textId="238D9D0B" w:rsidR="009D08E1" w:rsidRPr="00241063" w:rsidRDefault="009D08E1" w:rsidP="009D08E1">
            <w:pPr>
              <w:jc w:val="center"/>
              <w:rPr>
                <w:rFonts w:ascii="Times New Roman" w:hAnsi="Times New Roman" w:cs="Times New Roman"/>
              </w:rPr>
            </w:pPr>
            <w:r w:rsidRPr="0024106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87" w:type="dxa"/>
            <w:gridSpan w:val="2"/>
          </w:tcPr>
          <w:p w14:paraId="45467281" w14:textId="6C3717DF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9D08E1" w14:paraId="741DE3BB" w14:textId="77777777" w:rsidTr="00860B12">
        <w:tc>
          <w:tcPr>
            <w:tcW w:w="657" w:type="dxa"/>
            <w:vMerge/>
          </w:tcPr>
          <w:p w14:paraId="30C72755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  <w:vMerge/>
          </w:tcPr>
          <w:p w14:paraId="633CAFCF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14:paraId="2A31806D" w14:textId="2C106B46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8" w:type="dxa"/>
          </w:tcPr>
          <w:p w14:paraId="4818A279" w14:textId="0CF02005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F0140" w14:paraId="7CF14F75" w14:textId="77777777" w:rsidTr="00860B12">
        <w:tc>
          <w:tcPr>
            <w:tcW w:w="657" w:type="dxa"/>
          </w:tcPr>
          <w:p w14:paraId="39B66CBA" w14:textId="73090D25" w:rsidR="00CF0140" w:rsidRPr="009D08E1" w:rsidRDefault="009D08E1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8E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01" w:type="dxa"/>
          </w:tcPr>
          <w:p w14:paraId="2675F5B6" w14:textId="22C6D8E7" w:rsidR="00CF0140" w:rsidRPr="009D08E1" w:rsidRDefault="009D08E1" w:rsidP="009D08E1">
            <w:pPr>
              <w:rPr>
                <w:rFonts w:ascii="Times New Roman" w:hAnsi="Times New Roman" w:cs="Times New Roman"/>
                <w:b/>
                <w:bCs/>
              </w:rPr>
            </w:pPr>
            <w:r w:rsidRPr="009D08E1">
              <w:rPr>
                <w:rFonts w:ascii="Times New Roman" w:hAnsi="Times New Roman" w:cs="Times New Roman"/>
                <w:b/>
                <w:bCs/>
              </w:rPr>
              <w:t>Объем налоговых расходов, всего</w:t>
            </w:r>
          </w:p>
        </w:tc>
        <w:tc>
          <w:tcPr>
            <w:tcW w:w="1119" w:type="dxa"/>
          </w:tcPr>
          <w:p w14:paraId="16600E4D" w14:textId="580873CE" w:rsidR="00CF0140" w:rsidRPr="009D08E1" w:rsidRDefault="008852C5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2 652</w:t>
            </w:r>
          </w:p>
        </w:tc>
        <w:tc>
          <w:tcPr>
            <w:tcW w:w="968" w:type="dxa"/>
          </w:tcPr>
          <w:p w14:paraId="7E1168E0" w14:textId="773695CD" w:rsidR="00CF0140" w:rsidRPr="009D08E1" w:rsidRDefault="009D08E1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08E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CF0140" w14:paraId="128B9ADB" w14:textId="77777777" w:rsidTr="00860B12">
        <w:tc>
          <w:tcPr>
            <w:tcW w:w="657" w:type="dxa"/>
          </w:tcPr>
          <w:p w14:paraId="508245E5" w14:textId="77777777" w:rsidR="00CF0140" w:rsidRDefault="00CF0140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30C04EEA" w14:textId="2B45764A" w:rsidR="00CF0140" w:rsidRDefault="009D08E1" w:rsidP="009D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9" w:type="dxa"/>
          </w:tcPr>
          <w:p w14:paraId="5CA02FFD" w14:textId="77777777" w:rsidR="00CF0140" w:rsidRDefault="00CF0140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085DD39B" w14:textId="77777777" w:rsidR="00CF0140" w:rsidRDefault="00CF0140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E1" w14:paraId="20BC50A4" w14:textId="77777777" w:rsidTr="00860B12">
        <w:tc>
          <w:tcPr>
            <w:tcW w:w="657" w:type="dxa"/>
          </w:tcPr>
          <w:p w14:paraId="6FA0711F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  <w:p w14:paraId="5B8124D0" w14:textId="29ACF45B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01" w:type="dxa"/>
          </w:tcPr>
          <w:p w14:paraId="046E2A6A" w14:textId="3DDF6805" w:rsidR="009D08E1" w:rsidRDefault="009D08E1" w:rsidP="009D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 налоговые льготы в соответствии с решением сессии, всего</w:t>
            </w:r>
          </w:p>
        </w:tc>
        <w:tc>
          <w:tcPr>
            <w:tcW w:w="1119" w:type="dxa"/>
          </w:tcPr>
          <w:p w14:paraId="115DD8BC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58506EED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E1" w14:paraId="332B64CD" w14:textId="77777777" w:rsidTr="00860B12">
        <w:tc>
          <w:tcPr>
            <w:tcW w:w="657" w:type="dxa"/>
          </w:tcPr>
          <w:p w14:paraId="107A7EEE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466431CC" w14:textId="60F70481" w:rsidR="009D08E1" w:rsidRDefault="009D08E1" w:rsidP="009D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9" w:type="dxa"/>
          </w:tcPr>
          <w:p w14:paraId="0CD747F0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39EF7A16" w14:textId="77777777" w:rsidR="009D08E1" w:rsidRDefault="009D08E1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B12" w14:paraId="31A764F9" w14:textId="77777777" w:rsidTr="00860B12">
        <w:tc>
          <w:tcPr>
            <w:tcW w:w="657" w:type="dxa"/>
          </w:tcPr>
          <w:p w14:paraId="2793DCD2" w14:textId="7B0E40C9" w:rsidR="00860B12" w:rsidRPr="00B70C3F" w:rsidRDefault="00860B12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3F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6601" w:type="dxa"/>
          </w:tcPr>
          <w:p w14:paraId="6E8B3655" w14:textId="2D556E39" w:rsidR="00860B12" w:rsidRPr="00B70C3F" w:rsidRDefault="00860B12" w:rsidP="009D08E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0C3F">
              <w:rPr>
                <w:rFonts w:ascii="Times New Roman" w:hAnsi="Times New Roman" w:cs="Times New Roman"/>
                <w:b/>
                <w:bCs/>
                <w:i/>
                <w:iCs/>
              </w:rPr>
              <w:t>Технические налоговые расходы, всего</w:t>
            </w:r>
          </w:p>
        </w:tc>
        <w:tc>
          <w:tcPr>
            <w:tcW w:w="1119" w:type="dxa"/>
          </w:tcPr>
          <w:p w14:paraId="6DB0571C" w14:textId="721375C9" w:rsidR="00860B12" w:rsidRPr="00B70C3F" w:rsidRDefault="002C33BA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3F">
              <w:rPr>
                <w:rFonts w:ascii="Times New Roman" w:hAnsi="Times New Roman" w:cs="Times New Roman"/>
                <w:b/>
                <w:bCs/>
              </w:rPr>
              <w:t>2 218</w:t>
            </w:r>
          </w:p>
        </w:tc>
        <w:tc>
          <w:tcPr>
            <w:tcW w:w="968" w:type="dxa"/>
          </w:tcPr>
          <w:p w14:paraId="210AAD4F" w14:textId="372D359D" w:rsidR="00860B12" w:rsidRPr="00B70C3F" w:rsidRDefault="00B70C3F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3F">
              <w:rPr>
                <w:rFonts w:ascii="Times New Roman" w:hAnsi="Times New Roman" w:cs="Times New Roman"/>
                <w:b/>
                <w:bCs/>
              </w:rPr>
              <w:t>83,6</w:t>
            </w:r>
          </w:p>
        </w:tc>
      </w:tr>
      <w:tr w:rsidR="00CF0140" w14:paraId="1BD17A83" w14:textId="77777777" w:rsidTr="00860B12">
        <w:tc>
          <w:tcPr>
            <w:tcW w:w="657" w:type="dxa"/>
          </w:tcPr>
          <w:p w14:paraId="10C08A38" w14:textId="41725A2C" w:rsidR="00CF0140" w:rsidRDefault="00CF0140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458344D5" w14:textId="10351D1D" w:rsidR="00CF0140" w:rsidRDefault="009D08E1" w:rsidP="009D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</w:t>
            </w:r>
            <w:r w:rsidR="00860B12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местного самоуправления</w:t>
            </w:r>
            <w:proofErr w:type="gramEnd"/>
            <w:r w:rsidR="00860B12">
              <w:rPr>
                <w:rFonts w:ascii="Times New Roman" w:hAnsi="Times New Roman" w:cs="Times New Roman"/>
              </w:rPr>
              <w:t xml:space="preserve"> находящиеся на территории МО «Город Удачный» Мирнинского района РС(Я)</w:t>
            </w:r>
          </w:p>
        </w:tc>
        <w:tc>
          <w:tcPr>
            <w:tcW w:w="1119" w:type="dxa"/>
          </w:tcPr>
          <w:p w14:paraId="57F48BF3" w14:textId="0D14AD73" w:rsidR="00CF0140" w:rsidRDefault="002C33BA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</w:t>
            </w:r>
          </w:p>
        </w:tc>
        <w:tc>
          <w:tcPr>
            <w:tcW w:w="968" w:type="dxa"/>
          </w:tcPr>
          <w:p w14:paraId="5BA9CAAF" w14:textId="425D606D" w:rsidR="00CF0140" w:rsidRDefault="00B70C3F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CF0140" w14:paraId="63B545C6" w14:textId="77777777" w:rsidTr="00860B12">
        <w:tc>
          <w:tcPr>
            <w:tcW w:w="657" w:type="dxa"/>
          </w:tcPr>
          <w:p w14:paraId="4E55AC63" w14:textId="77777777" w:rsidR="00CF0140" w:rsidRDefault="00CF0140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47C31FAA" w14:textId="5AFA1F2D" w:rsidR="00CF0140" w:rsidRDefault="00860B12" w:rsidP="0086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учреждения, финансируемые из бюджета МО «Мирнинский район» РС(Я)</w:t>
            </w:r>
          </w:p>
        </w:tc>
        <w:tc>
          <w:tcPr>
            <w:tcW w:w="1119" w:type="dxa"/>
          </w:tcPr>
          <w:p w14:paraId="281DB9DF" w14:textId="77777777" w:rsidR="00CF0140" w:rsidRDefault="002C33BA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763,7</w:t>
            </w:r>
          </w:p>
          <w:p w14:paraId="23A2A476" w14:textId="4F859C0F" w:rsidR="002C33BA" w:rsidRDefault="002C33BA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14:paraId="318C0554" w14:textId="2E4F8000" w:rsidR="00CF0140" w:rsidRDefault="00B70C3F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860B12" w14:paraId="4C70C86E" w14:textId="77777777" w:rsidTr="00860B12">
        <w:tc>
          <w:tcPr>
            <w:tcW w:w="657" w:type="dxa"/>
          </w:tcPr>
          <w:p w14:paraId="32E3B9D9" w14:textId="77777777" w:rsidR="00860B12" w:rsidRDefault="00860B12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655D7FE3" w14:textId="1285A22E" w:rsidR="00860B12" w:rsidRDefault="00860B12" w:rsidP="0086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юридические лица, имеющие земельные участки на территории МО «Город Удачный» Мирнинского района РС(Я), занятые под объекты воздушного транспорта</w:t>
            </w:r>
          </w:p>
        </w:tc>
        <w:tc>
          <w:tcPr>
            <w:tcW w:w="1119" w:type="dxa"/>
          </w:tcPr>
          <w:p w14:paraId="4F00214C" w14:textId="0D64D4FD" w:rsidR="00860B12" w:rsidRDefault="00B70C3F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1 295,8</w:t>
            </w:r>
          </w:p>
        </w:tc>
        <w:tc>
          <w:tcPr>
            <w:tcW w:w="968" w:type="dxa"/>
          </w:tcPr>
          <w:p w14:paraId="530A47C9" w14:textId="1F6B9ACB" w:rsidR="00860B12" w:rsidRDefault="00B70C3F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860B12" w14:paraId="539C953A" w14:textId="77777777" w:rsidTr="00860B12">
        <w:tc>
          <w:tcPr>
            <w:tcW w:w="657" w:type="dxa"/>
          </w:tcPr>
          <w:p w14:paraId="2CE3DF26" w14:textId="6F87C714" w:rsidR="00860B12" w:rsidRPr="00B70C3F" w:rsidRDefault="00A96353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3F"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6601" w:type="dxa"/>
          </w:tcPr>
          <w:p w14:paraId="3CF46E46" w14:textId="2C869DB7" w:rsidR="005D1B13" w:rsidRPr="00B70C3F" w:rsidRDefault="00A96353" w:rsidP="00860B1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0C3F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Социальные налоговые расходы, всего</w:t>
            </w:r>
          </w:p>
        </w:tc>
        <w:tc>
          <w:tcPr>
            <w:tcW w:w="1119" w:type="dxa"/>
          </w:tcPr>
          <w:p w14:paraId="0837597C" w14:textId="662747C6" w:rsidR="00860B12" w:rsidRPr="00B70C3F" w:rsidRDefault="002C33BA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3F">
              <w:rPr>
                <w:rFonts w:ascii="Times New Roman" w:hAnsi="Times New Roman" w:cs="Times New Roman"/>
                <w:b/>
                <w:bCs/>
              </w:rPr>
              <w:t>434,0</w:t>
            </w:r>
          </w:p>
        </w:tc>
        <w:tc>
          <w:tcPr>
            <w:tcW w:w="968" w:type="dxa"/>
          </w:tcPr>
          <w:p w14:paraId="4E70ACA8" w14:textId="09BD1DCF" w:rsidR="00860B12" w:rsidRPr="00B70C3F" w:rsidRDefault="00B70C3F" w:rsidP="00CF01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C3F">
              <w:rPr>
                <w:rFonts w:ascii="Times New Roman" w:hAnsi="Times New Roman" w:cs="Times New Roman"/>
                <w:b/>
                <w:bCs/>
              </w:rPr>
              <w:t>16,4</w:t>
            </w:r>
          </w:p>
        </w:tc>
      </w:tr>
      <w:tr w:rsidR="008852C5" w14:paraId="00647D51" w14:textId="77777777" w:rsidTr="00860B12">
        <w:tc>
          <w:tcPr>
            <w:tcW w:w="657" w:type="dxa"/>
          </w:tcPr>
          <w:p w14:paraId="18CDFC91" w14:textId="77777777" w:rsidR="008852C5" w:rsidRDefault="008852C5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315F0E75" w14:textId="2A1AB028" w:rsidR="008852C5" w:rsidRPr="008852C5" w:rsidRDefault="008852C5" w:rsidP="0086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пенсионеры по старости</w:t>
            </w:r>
          </w:p>
        </w:tc>
        <w:tc>
          <w:tcPr>
            <w:tcW w:w="1119" w:type="dxa"/>
          </w:tcPr>
          <w:p w14:paraId="26BA78CB" w14:textId="557536B2" w:rsidR="008852C5" w:rsidRDefault="002C33BA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383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</w:tcPr>
          <w:p w14:paraId="5AB8D8DD" w14:textId="35505844" w:rsidR="008852C5" w:rsidRDefault="00F63831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8852C5" w14:paraId="151F0EC3" w14:textId="77777777" w:rsidTr="00860B12">
        <w:tc>
          <w:tcPr>
            <w:tcW w:w="657" w:type="dxa"/>
          </w:tcPr>
          <w:p w14:paraId="2E67A534" w14:textId="77777777" w:rsidR="008852C5" w:rsidRDefault="008852C5" w:rsidP="00CF0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1" w:type="dxa"/>
          </w:tcPr>
          <w:p w14:paraId="59397D87" w14:textId="530325BA" w:rsidR="008852C5" w:rsidRDefault="008852C5" w:rsidP="00860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граждане, призванные по мобилизации и члены их семей</w:t>
            </w:r>
          </w:p>
        </w:tc>
        <w:tc>
          <w:tcPr>
            <w:tcW w:w="1119" w:type="dxa"/>
          </w:tcPr>
          <w:p w14:paraId="0D918262" w14:textId="3AE21336" w:rsidR="008852C5" w:rsidRDefault="002C33BA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8" w:type="dxa"/>
          </w:tcPr>
          <w:p w14:paraId="22439104" w14:textId="1E515B2E" w:rsidR="008852C5" w:rsidRDefault="00241063" w:rsidP="00CF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</w:tbl>
    <w:p w14:paraId="5C2355D1" w14:textId="77777777" w:rsidR="00CF0140" w:rsidRPr="00CF0140" w:rsidRDefault="00CF0140" w:rsidP="00CF0140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25D841F9" w14:textId="135AD226" w:rsidR="002C35E7" w:rsidRDefault="005D1B13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налоговых расходов по земельному налогу в связи с предоставлением налоговых льгот в соответствии с решением сессии городского Совета составил </w:t>
      </w:r>
      <w:r w:rsidR="00241063">
        <w:rPr>
          <w:rFonts w:ascii="Times New Roman" w:hAnsi="Times New Roman" w:cs="Times New Roman"/>
        </w:rPr>
        <w:t>2 218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</w:t>
      </w:r>
      <w:proofErr w:type="spellEnd"/>
      <w:r>
        <w:rPr>
          <w:rFonts w:ascii="Times New Roman" w:hAnsi="Times New Roman" w:cs="Times New Roman"/>
        </w:rPr>
        <w:t xml:space="preserve"> рублей или </w:t>
      </w:r>
      <w:r w:rsidR="00241063">
        <w:rPr>
          <w:rFonts w:ascii="Times New Roman" w:hAnsi="Times New Roman" w:cs="Times New Roman"/>
        </w:rPr>
        <w:t>83,6</w:t>
      </w:r>
      <w:r>
        <w:rPr>
          <w:rFonts w:ascii="Times New Roman" w:hAnsi="Times New Roman" w:cs="Times New Roman"/>
        </w:rPr>
        <w:t>% от общего объема налоговых расходов по земельному налогу.</w:t>
      </w:r>
    </w:p>
    <w:p w14:paraId="40D8F543" w14:textId="469A643B" w:rsidR="005D1B13" w:rsidRDefault="005D1B13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Основную долю в общем объеме налоговых расходов по земельному налогу в связи с предоставлением налоговых льгот в соответствии с решением сессии городского Совета составляют технические налоговые расходы (</w:t>
      </w:r>
      <w:r w:rsidR="00241063">
        <w:rPr>
          <w:rFonts w:ascii="Times New Roman" w:hAnsi="Times New Roman" w:cs="Times New Roman"/>
        </w:rPr>
        <w:t>83,6</w:t>
      </w:r>
      <w:r>
        <w:rPr>
          <w:rFonts w:ascii="Times New Roman" w:hAnsi="Times New Roman" w:cs="Times New Roman"/>
        </w:rPr>
        <w:t>%)</w:t>
      </w:r>
      <w:r w:rsidR="009B1132">
        <w:rPr>
          <w:rFonts w:ascii="Times New Roman" w:hAnsi="Times New Roman" w:cs="Times New Roman"/>
        </w:rPr>
        <w:t xml:space="preserve">. Доля социальных налоговых расходов в связи с предоставлением налоговых льгот в соответствии с решением сессии городского Совета составила </w:t>
      </w:r>
      <w:r w:rsidR="00241063">
        <w:rPr>
          <w:rFonts w:ascii="Times New Roman" w:hAnsi="Times New Roman" w:cs="Times New Roman"/>
        </w:rPr>
        <w:t>16,4</w:t>
      </w:r>
      <w:r w:rsidR="009B1132">
        <w:rPr>
          <w:rFonts w:ascii="Times New Roman" w:hAnsi="Times New Roman" w:cs="Times New Roman"/>
        </w:rPr>
        <w:t>%.</w:t>
      </w:r>
    </w:p>
    <w:p w14:paraId="626A74DD" w14:textId="2F347828" w:rsidR="009B1132" w:rsidRDefault="009B1132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налоговые расходы представлены налоговыми льготами по земельному налогу для органов местного самоуправления</w:t>
      </w:r>
      <w:r w:rsidR="006E2C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находящихся на территории МО «Город Удачный», учреждения, финансируемые из бюджета МО «Мирнинский район»</w:t>
      </w:r>
      <w:r w:rsidR="006E2CEB">
        <w:rPr>
          <w:rFonts w:ascii="Times New Roman" w:hAnsi="Times New Roman" w:cs="Times New Roman"/>
        </w:rPr>
        <w:t xml:space="preserve">, юридические лица, имеющие земельные участки на территории МО «Город Удачный», занятые под объекты воздушного транспорта. При исчислении земельного налога за 2022 год налоговыми льготами воспользовались </w:t>
      </w:r>
      <w:r w:rsidR="00241063">
        <w:rPr>
          <w:rFonts w:ascii="Times New Roman" w:hAnsi="Times New Roman" w:cs="Times New Roman"/>
        </w:rPr>
        <w:t>7</w:t>
      </w:r>
      <w:r w:rsidR="006E2CEB">
        <w:rPr>
          <w:rFonts w:ascii="Times New Roman" w:hAnsi="Times New Roman" w:cs="Times New Roman"/>
        </w:rPr>
        <w:t xml:space="preserve"> организаций.</w:t>
      </w:r>
    </w:p>
    <w:p w14:paraId="7A9C2133" w14:textId="6AC15692" w:rsidR="006E2CEB" w:rsidRDefault="006E2CEB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применения данных налоговых расходов является исключение финансовых потоков.</w:t>
      </w:r>
    </w:p>
    <w:p w14:paraId="57CC54BC" w14:textId="68315823" w:rsidR="006E2CEB" w:rsidRDefault="006E2CEB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налоговые расходы представлены налоговыми льготами по земельному налогу для организаций и физических лиц. Предоставление данного вида льгот носит заявительный характер.</w:t>
      </w:r>
    </w:p>
    <w:p w14:paraId="08AC9EB7" w14:textId="0E8EAD35" w:rsidR="006E2CEB" w:rsidRDefault="006E2CEB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налоговых расходов является оказание социальной поддержки отдельным категориям налогоплательщиков.</w:t>
      </w:r>
    </w:p>
    <w:p w14:paraId="5B93A004" w14:textId="14ADFAE3" w:rsidR="006E2CEB" w:rsidRDefault="006E2CEB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2022 год льготой по земельному налогу воспользовались </w:t>
      </w:r>
      <w:r w:rsidR="00857F07">
        <w:rPr>
          <w:rFonts w:ascii="Times New Roman" w:hAnsi="Times New Roman" w:cs="Times New Roman"/>
        </w:rPr>
        <w:t>162</w:t>
      </w:r>
      <w:r>
        <w:rPr>
          <w:rFonts w:ascii="Times New Roman" w:hAnsi="Times New Roman" w:cs="Times New Roman"/>
        </w:rPr>
        <w:t xml:space="preserve"> налогоплательщик</w:t>
      </w:r>
      <w:r w:rsidR="00857F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 том числе:</w:t>
      </w:r>
    </w:p>
    <w:p w14:paraId="75153BDD" w14:textId="26A09F20" w:rsidR="00330B5E" w:rsidRDefault="00083730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1063">
        <w:rPr>
          <w:rFonts w:ascii="Times New Roman" w:hAnsi="Times New Roman" w:cs="Times New Roman"/>
        </w:rPr>
        <w:t>155</w:t>
      </w:r>
      <w:r>
        <w:rPr>
          <w:rFonts w:ascii="Times New Roman" w:hAnsi="Times New Roman" w:cs="Times New Roman"/>
        </w:rPr>
        <w:t xml:space="preserve"> физических лиц. основной льготной категорией являются пенсионеры по старости в отношении земельных участков</w:t>
      </w:r>
      <w:r w:rsidR="005F180A">
        <w:rPr>
          <w:rFonts w:ascii="Times New Roman" w:hAnsi="Times New Roman" w:cs="Times New Roman"/>
        </w:rPr>
        <w:t>, представленных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представленных для садоводства и огородничества.</w:t>
      </w:r>
    </w:p>
    <w:p w14:paraId="14DE8386" w14:textId="166B12B9" w:rsidR="00D62856" w:rsidRDefault="00D62856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Применение социальных налоговых расходов способствует снижению налогового бремени незащищенных групп населения, повышению уровня качества их жизни, снижению социального неравенства, </w:t>
      </w:r>
      <w:r w:rsidR="003A4027">
        <w:rPr>
          <w:rFonts w:ascii="Times New Roman" w:hAnsi="Times New Roman" w:cs="Times New Roman"/>
        </w:rPr>
        <w:t>что соответствует социально-экономического развития муниципального образования «Город Удачный».</w:t>
      </w:r>
    </w:p>
    <w:p w14:paraId="0EA678D3" w14:textId="68166F4B" w:rsidR="003A4027" w:rsidRDefault="003A402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Востребованность предоставленных налоговых льгот, освобождений и иных преференций по налогам определяется соотношением численности плательщиков, воспользовавшихся правом на льготы, освобождения и иные преференции, к общей численности плательщиков.</w:t>
      </w:r>
    </w:p>
    <w:p w14:paraId="21D8D382" w14:textId="3D7F9D57" w:rsidR="003A4027" w:rsidRDefault="003A402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150326523"/>
      <w:r>
        <w:rPr>
          <w:rFonts w:ascii="Times New Roman" w:hAnsi="Times New Roman" w:cs="Times New Roman"/>
        </w:rPr>
        <w:t>Востребованность налоговых расходов в связи с предоставлением налоговых льгот в соответствии с решением сессии городского Совета за период 2018-2022 годы</w:t>
      </w:r>
      <w:r w:rsidR="005108B7">
        <w:rPr>
          <w:rFonts w:ascii="Times New Roman" w:hAnsi="Times New Roman" w:cs="Times New Roman"/>
        </w:rPr>
        <w:t xml:space="preserve"> рассчитана исходя из фактически предоставленных налоговых льгот и составила:</w:t>
      </w:r>
    </w:p>
    <w:bookmarkEnd w:id="0"/>
    <w:p w14:paraId="24B51AB2" w14:textId="77777777" w:rsidR="005108B7" w:rsidRDefault="005108B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3"/>
        <w:gridCol w:w="1270"/>
        <w:gridCol w:w="991"/>
        <w:gridCol w:w="991"/>
        <w:gridCol w:w="895"/>
        <w:gridCol w:w="985"/>
      </w:tblGrid>
      <w:tr w:rsidR="005108B7" w14:paraId="45E6E7EE" w14:textId="77777777" w:rsidTr="005108B7">
        <w:tc>
          <w:tcPr>
            <w:tcW w:w="4248" w:type="dxa"/>
          </w:tcPr>
          <w:p w14:paraId="6695DA02" w14:textId="6857D66A" w:rsidR="005108B7" w:rsidRDefault="005108B7" w:rsidP="002C35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</w:tcPr>
          <w:p w14:paraId="1DD97F28" w14:textId="1E73671F" w:rsidR="005108B7" w:rsidRDefault="005108B7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14:paraId="3BEFE1BF" w14:textId="06A9CD15" w:rsidR="005108B7" w:rsidRDefault="005108B7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7CB42969" w14:textId="21EDCA6D" w:rsidR="005108B7" w:rsidRDefault="005108B7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14:paraId="26A596DC" w14:textId="293534B5" w:rsidR="005108B7" w:rsidRDefault="005108B7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6" w:type="dxa"/>
          </w:tcPr>
          <w:p w14:paraId="3999372F" w14:textId="6390FF03" w:rsidR="005108B7" w:rsidRDefault="005108B7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108B7" w14:paraId="0013DC4F" w14:textId="77777777" w:rsidTr="005108B7">
        <w:tc>
          <w:tcPr>
            <w:tcW w:w="4248" w:type="dxa"/>
          </w:tcPr>
          <w:p w14:paraId="465C77D7" w14:textId="2816998B" w:rsidR="005108B7" w:rsidRDefault="005108B7" w:rsidP="005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плательщиков, ед.</w:t>
            </w:r>
          </w:p>
        </w:tc>
        <w:tc>
          <w:tcPr>
            <w:tcW w:w="1276" w:type="dxa"/>
          </w:tcPr>
          <w:p w14:paraId="646E5FE6" w14:textId="54E9EE6F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</w:tcPr>
          <w:p w14:paraId="7961F0DD" w14:textId="3D1EB7A7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</w:tcPr>
          <w:p w14:paraId="3D624738" w14:textId="659097DE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51" w:type="dxa"/>
          </w:tcPr>
          <w:p w14:paraId="7E530FC6" w14:textId="55B3D3C0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86" w:type="dxa"/>
          </w:tcPr>
          <w:p w14:paraId="5391165D" w14:textId="1AC09E76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5108B7" w14:paraId="2D8AEB76" w14:textId="77777777" w:rsidTr="005108B7">
        <w:tc>
          <w:tcPr>
            <w:tcW w:w="4248" w:type="dxa"/>
          </w:tcPr>
          <w:p w14:paraId="14F7731B" w14:textId="27011338" w:rsidR="005108B7" w:rsidRDefault="005108B7" w:rsidP="005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льготы, ед.</w:t>
            </w:r>
          </w:p>
        </w:tc>
        <w:tc>
          <w:tcPr>
            <w:tcW w:w="1276" w:type="dxa"/>
          </w:tcPr>
          <w:p w14:paraId="74079352" w14:textId="130FA16C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14:paraId="61ABA758" w14:textId="61AA5461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14:paraId="113FBAA8" w14:textId="622E88E0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</w:tcPr>
          <w:p w14:paraId="54E870C8" w14:textId="3920CF7F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86" w:type="dxa"/>
          </w:tcPr>
          <w:p w14:paraId="743B99DF" w14:textId="3EB42B8B" w:rsidR="005108B7" w:rsidRDefault="00857F07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5108B7" w14:paraId="241B8FAE" w14:textId="77777777" w:rsidTr="005108B7">
        <w:tc>
          <w:tcPr>
            <w:tcW w:w="4248" w:type="dxa"/>
          </w:tcPr>
          <w:p w14:paraId="4577D3A0" w14:textId="10CFCF6E" w:rsidR="005108B7" w:rsidRDefault="005108B7" w:rsidP="0051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востребованности, %</w:t>
            </w:r>
          </w:p>
        </w:tc>
        <w:tc>
          <w:tcPr>
            <w:tcW w:w="1276" w:type="dxa"/>
          </w:tcPr>
          <w:p w14:paraId="20FE7F16" w14:textId="0BC14DF8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27,23%</w:t>
            </w:r>
          </w:p>
        </w:tc>
        <w:tc>
          <w:tcPr>
            <w:tcW w:w="992" w:type="dxa"/>
          </w:tcPr>
          <w:p w14:paraId="5E5E404A" w14:textId="351BBB98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29,84%</w:t>
            </w:r>
          </w:p>
        </w:tc>
        <w:tc>
          <w:tcPr>
            <w:tcW w:w="992" w:type="dxa"/>
          </w:tcPr>
          <w:p w14:paraId="60D533CB" w14:textId="5BE46D6E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35,64%</w:t>
            </w:r>
          </w:p>
        </w:tc>
        <w:tc>
          <w:tcPr>
            <w:tcW w:w="851" w:type="dxa"/>
          </w:tcPr>
          <w:p w14:paraId="6E30D593" w14:textId="49383EBD" w:rsidR="005108B7" w:rsidRDefault="00AB7C70" w:rsidP="0051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37,03%</w:t>
            </w:r>
          </w:p>
        </w:tc>
        <w:tc>
          <w:tcPr>
            <w:tcW w:w="986" w:type="dxa"/>
          </w:tcPr>
          <w:p w14:paraId="627E58A5" w14:textId="1DE3554E" w:rsidR="005108B7" w:rsidRPr="00F075A9" w:rsidRDefault="00857F07" w:rsidP="005108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37,85</w:t>
            </w:r>
            <w:r w:rsidR="00AB7C70">
              <w:rPr>
                <w:rFonts w:ascii="Times New Roman" w:hAnsi="Times New Roman" w:cs="Times New Roman"/>
              </w:rPr>
              <w:t>%</w:t>
            </w:r>
          </w:p>
        </w:tc>
      </w:tr>
    </w:tbl>
    <w:p w14:paraId="6E3BA41E" w14:textId="77777777" w:rsidR="005108B7" w:rsidRDefault="005108B7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0BCDC24" w14:textId="37E66F81" w:rsidR="00544C2F" w:rsidRDefault="00F075A9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год по сравнению с уровнем 2018 года востребованность предоставленных льгот возросла. Данный факт свидетельствует о целесообразности их прим</w:t>
      </w:r>
      <w:r w:rsidR="0007294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нения.</w:t>
      </w:r>
    </w:p>
    <w:p w14:paraId="326BC2FC" w14:textId="42964A8B" w:rsidR="00C1096C" w:rsidRDefault="00C1096C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2018-2022 годы налогоплательщики пользуются своими налоговыми льготами.</w:t>
      </w:r>
    </w:p>
    <w:p w14:paraId="680B6D94" w14:textId="38C75590" w:rsidR="00C1096C" w:rsidRDefault="00F83D1C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фактически предоставленные налогоплательщикам налоговые расходы по земельному налогу оказывают положительное влияние на социально-экономическое развитие </w:t>
      </w:r>
      <w:r w:rsidR="00A84565">
        <w:rPr>
          <w:rFonts w:ascii="Times New Roman" w:hAnsi="Times New Roman" w:cs="Times New Roman"/>
        </w:rPr>
        <w:t>муниципального образования «Город Удачный», способствуют устранению встречных финансовых потоков средств местного бюджета, направлены на оказание социальной поддержки отдельным категориям налогоплательщиков, их действие за 2022 год признано эффективным.</w:t>
      </w:r>
    </w:p>
    <w:p w14:paraId="3CF493CA" w14:textId="77777777" w:rsidR="00A84565" w:rsidRDefault="00A84565" w:rsidP="002C35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750C165" w14:textId="77777777" w:rsidR="008852C5" w:rsidRDefault="00A84565" w:rsidP="00A845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4565">
        <w:rPr>
          <w:rFonts w:ascii="Times New Roman" w:hAnsi="Times New Roman" w:cs="Times New Roman"/>
          <w:b/>
          <w:bCs/>
        </w:rPr>
        <w:t xml:space="preserve">Оценка эффективности налоговых расходов по налогу </w:t>
      </w:r>
    </w:p>
    <w:p w14:paraId="76DA2D8D" w14:textId="1DD7B53E" w:rsidR="00A84565" w:rsidRPr="008852C5" w:rsidRDefault="00A84565" w:rsidP="008852C5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</w:rPr>
      </w:pPr>
      <w:r w:rsidRPr="008852C5">
        <w:rPr>
          <w:rFonts w:ascii="Times New Roman" w:hAnsi="Times New Roman" w:cs="Times New Roman"/>
          <w:b/>
          <w:bCs/>
        </w:rPr>
        <w:t>на имущество физических лиц</w:t>
      </w:r>
    </w:p>
    <w:p w14:paraId="781ED299" w14:textId="77777777" w:rsidR="00A84565" w:rsidRDefault="00A84565" w:rsidP="00A845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25585D" w14:textId="77777777" w:rsidR="00A84565" w:rsidRDefault="00A84565" w:rsidP="00A845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72FF4" w14:textId="5CF30543" w:rsidR="007D432A" w:rsidRDefault="00CD3E4D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Налог на имущество физических лиц </w:t>
      </w:r>
      <w:r w:rsidR="006D7CE1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 xml:space="preserve"> на территории муниципального образования «Город Удачный» решением сессии городского Совета депутатов</w:t>
      </w:r>
      <w:r w:rsidR="006D7CE1">
        <w:rPr>
          <w:rFonts w:ascii="Times New Roman" w:hAnsi="Times New Roman" w:cs="Times New Roman"/>
        </w:rPr>
        <w:t xml:space="preserve"> от 23.11.2010 № 33-3 «Об утверждении Положения «О налогах и сборах муниципального образования «Город Удачный» Мирнинского района РС(Я)». </w:t>
      </w:r>
    </w:p>
    <w:p w14:paraId="4D97B75B" w14:textId="77777777" w:rsidR="00794A23" w:rsidRDefault="006D7CE1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расходы предусмотрены одной целевой категорией – социальной. Льготы по налогу на имущество предоставляются гражданам</w:t>
      </w:r>
      <w:r w:rsidR="00794A23">
        <w:rPr>
          <w:rFonts w:ascii="Times New Roman" w:hAnsi="Times New Roman" w:cs="Times New Roman"/>
        </w:rPr>
        <w:t>:</w:t>
      </w:r>
    </w:p>
    <w:p w14:paraId="7C1DB074" w14:textId="5905A903" w:rsidR="006D7CE1" w:rsidRDefault="00794A23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D7CE1">
        <w:rPr>
          <w:rFonts w:ascii="Times New Roman" w:hAnsi="Times New Roman" w:cs="Times New Roman"/>
        </w:rPr>
        <w:t xml:space="preserve"> членам многодетных семей, имеющих пять и более</w:t>
      </w:r>
      <w:r>
        <w:rPr>
          <w:rFonts w:ascii="Times New Roman" w:hAnsi="Times New Roman" w:cs="Times New Roman"/>
        </w:rPr>
        <w:t xml:space="preserve"> несовершеннолетних детей;</w:t>
      </w:r>
    </w:p>
    <w:p w14:paraId="124D2B98" w14:textId="686472A5" w:rsidR="00794A23" w:rsidRDefault="00794A23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пенсионерам по старости;</w:t>
      </w:r>
    </w:p>
    <w:p w14:paraId="3B31763B" w14:textId="0CE66470" w:rsidR="00794A23" w:rsidRDefault="00794A23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малоимущим гражданам в размере 50%;</w:t>
      </w:r>
    </w:p>
    <w:p w14:paraId="2BB2B85E" w14:textId="2E5A17E1" w:rsidR="00794A23" w:rsidRDefault="00794A23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лицам, призванным на военную службу по мобилизации и их семьям.</w:t>
      </w:r>
    </w:p>
    <w:p w14:paraId="70D87D09" w14:textId="11FAA509" w:rsidR="00794A23" w:rsidRDefault="00794A23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налогового расхода является оказание поддержки данной категории граждан. </w:t>
      </w:r>
    </w:p>
    <w:p w14:paraId="782E009B" w14:textId="77777777" w:rsidR="00F63831" w:rsidRDefault="00F63831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83DA52" w14:textId="0C1F252E" w:rsidR="00F63831" w:rsidRDefault="00F63831" w:rsidP="00F638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Востребованность налоговых расходов в связи с предоставлением налоговых льгот в соответствии с решением сессии городского Совета за период 2018-2022 годы рассчитана исходя из фактически предоставленных налоговых льгот и составила: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3"/>
        <w:gridCol w:w="1270"/>
        <w:gridCol w:w="991"/>
        <w:gridCol w:w="991"/>
        <w:gridCol w:w="895"/>
        <w:gridCol w:w="985"/>
      </w:tblGrid>
      <w:tr w:rsidR="00F63831" w14:paraId="52FF9106" w14:textId="77777777" w:rsidTr="00595E26">
        <w:tc>
          <w:tcPr>
            <w:tcW w:w="4248" w:type="dxa"/>
          </w:tcPr>
          <w:p w14:paraId="47DEC5CD" w14:textId="77777777" w:rsidR="00F63831" w:rsidRDefault="00F63831" w:rsidP="00595E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</w:tcPr>
          <w:p w14:paraId="48573691" w14:textId="77777777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14:paraId="54D5447F" w14:textId="77777777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14:paraId="14B1A497" w14:textId="77777777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14:paraId="7E03F045" w14:textId="77777777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6" w:type="dxa"/>
          </w:tcPr>
          <w:p w14:paraId="782588D7" w14:textId="77777777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63831" w14:paraId="07C3F8EF" w14:textId="77777777" w:rsidTr="00595E26">
        <w:tc>
          <w:tcPr>
            <w:tcW w:w="4248" w:type="dxa"/>
          </w:tcPr>
          <w:p w14:paraId="316B62D4" w14:textId="77777777" w:rsidR="00F63831" w:rsidRDefault="00F63831" w:rsidP="0059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плательщиков, ед.</w:t>
            </w:r>
          </w:p>
        </w:tc>
        <w:tc>
          <w:tcPr>
            <w:tcW w:w="1276" w:type="dxa"/>
          </w:tcPr>
          <w:p w14:paraId="7FBB3C13" w14:textId="4066A93A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7 110</w:t>
            </w:r>
          </w:p>
        </w:tc>
        <w:tc>
          <w:tcPr>
            <w:tcW w:w="992" w:type="dxa"/>
          </w:tcPr>
          <w:p w14:paraId="4CFC95AB" w14:textId="125CAA7E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7 157</w:t>
            </w:r>
          </w:p>
        </w:tc>
        <w:tc>
          <w:tcPr>
            <w:tcW w:w="992" w:type="dxa"/>
          </w:tcPr>
          <w:p w14:paraId="1106A933" w14:textId="1E16182A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7 015</w:t>
            </w:r>
          </w:p>
        </w:tc>
        <w:tc>
          <w:tcPr>
            <w:tcW w:w="851" w:type="dxa"/>
          </w:tcPr>
          <w:p w14:paraId="4795C878" w14:textId="5EF503CE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7 125</w:t>
            </w:r>
          </w:p>
        </w:tc>
        <w:tc>
          <w:tcPr>
            <w:tcW w:w="986" w:type="dxa"/>
          </w:tcPr>
          <w:p w14:paraId="58386D3F" w14:textId="4F359CF3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7 273</w:t>
            </w:r>
          </w:p>
        </w:tc>
      </w:tr>
      <w:tr w:rsidR="00F63831" w14:paraId="14E8BB2F" w14:textId="77777777" w:rsidTr="00595E26">
        <w:tc>
          <w:tcPr>
            <w:tcW w:w="4248" w:type="dxa"/>
          </w:tcPr>
          <w:p w14:paraId="0431A3A6" w14:textId="77777777" w:rsidR="00F63831" w:rsidRDefault="00F63831" w:rsidP="0059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плательщиков, воспользовавшихся правом на льготы, ед.</w:t>
            </w:r>
          </w:p>
        </w:tc>
        <w:tc>
          <w:tcPr>
            <w:tcW w:w="1276" w:type="dxa"/>
          </w:tcPr>
          <w:p w14:paraId="7F5FBAF8" w14:textId="59FA36DF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1 010</w:t>
            </w:r>
          </w:p>
        </w:tc>
        <w:tc>
          <w:tcPr>
            <w:tcW w:w="992" w:type="dxa"/>
          </w:tcPr>
          <w:p w14:paraId="1694A79E" w14:textId="6AEFD8C2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1 262</w:t>
            </w:r>
          </w:p>
        </w:tc>
        <w:tc>
          <w:tcPr>
            <w:tcW w:w="992" w:type="dxa"/>
          </w:tcPr>
          <w:p w14:paraId="5FEF250C" w14:textId="0C172144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</w:t>
            </w:r>
          </w:p>
        </w:tc>
        <w:tc>
          <w:tcPr>
            <w:tcW w:w="851" w:type="dxa"/>
          </w:tcPr>
          <w:p w14:paraId="746D3697" w14:textId="3BDB1213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1 480</w:t>
            </w:r>
          </w:p>
        </w:tc>
        <w:tc>
          <w:tcPr>
            <w:tcW w:w="986" w:type="dxa"/>
          </w:tcPr>
          <w:p w14:paraId="1CD43B04" w14:textId="536D76AE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1 513</w:t>
            </w:r>
          </w:p>
        </w:tc>
      </w:tr>
      <w:tr w:rsidR="00F63831" w14:paraId="77AFB296" w14:textId="77777777" w:rsidTr="00595E26">
        <w:tc>
          <w:tcPr>
            <w:tcW w:w="4248" w:type="dxa"/>
          </w:tcPr>
          <w:p w14:paraId="3F61AC6D" w14:textId="77777777" w:rsidR="00F63831" w:rsidRDefault="00F63831" w:rsidP="0059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востребованности, %</w:t>
            </w:r>
          </w:p>
        </w:tc>
        <w:tc>
          <w:tcPr>
            <w:tcW w:w="1276" w:type="dxa"/>
          </w:tcPr>
          <w:p w14:paraId="2120ADD6" w14:textId="2713CBEA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14:paraId="7DB9B538" w14:textId="13A22426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14:paraId="586A1450" w14:textId="3B600364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14:paraId="789A1B59" w14:textId="10B1AB7D" w:rsidR="00F63831" w:rsidRDefault="00F63831" w:rsidP="00595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6" w:type="dxa"/>
          </w:tcPr>
          <w:p w14:paraId="4B1820D0" w14:textId="567E7970" w:rsidR="00F63831" w:rsidRPr="00F075A9" w:rsidRDefault="00F63831" w:rsidP="00595E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20,80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3290A59A" w14:textId="77777777" w:rsidR="00F63831" w:rsidRDefault="00F63831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A26D45E" w14:textId="424EC1DB" w:rsidR="00794A23" w:rsidRDefault="00794A23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налоговых расходов по налогу на имущество физических ли за 2022 год составил 4</w:t>
      </w:r>
      <w:r w:rsidR="00857F0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</w:rPr>
        <w:t>. Данной льготой воспользовались 1</w:t>
      </w:r>
      <w:r w:rsidR="00857F07">
        <w:rPr>
          <w:rFonts w:ascii="Times New Roman" w:hAnsi="Times New Roman" w:cs="Times New Roman"/>
        </w:rPr>
        <w:t>513</w:t>
      </w:r>
      <w:r>
        <w:rPr>
          <w:rFonts w:ascii="Times New Roman" w:hAnsi="Times New Roman" w:cs="Times New Roman"/>
        </w:rPr>
        <w:t xml:space="preserve"> человек. Применение налогового расхода способствует поощрению и повышению уровня и качества жизни вышеуказанных категорий граждан, что соответствует стратегии социально-экономического развития муниципального образования «Город Удачный»</w:t>
      </w:r>
      <w:r w:rsidR="008852C5">
        <w:rPr>
          <w:rFonts w:ascii="Times New Roman" w:hAnsi="Times New Roman" w:cs="Times New Roman"/>
        </w:rPr>
        <w:t>.</w:t>
      </w:r>
    </w:p>
    <w:p w14:paraId="4FE5BE7B" w14:textId="104ABA3F" w:rsidR="008852C5" w:rsidRDefault="008852C5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проведенной оценки эффективности налоговые расходы МО «Город Удачный» за 2022 год соответствуют критериям целесообразности, являются эффективными и подлежат сохранению.</w:t>
      </w:r>
    </w:p>
    <w:p w14:paraId="7384D873" w14:textId="77777777" w:rsidR="00857F07" w:rsidRDefault="00857F07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0E9339A" w14:textId="77777777" w:rsidR="00857F07" w:rsidRDefault="00857F07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43E0558" w14:textId="77777777" w:rsidR="00857F07" w:rsidRDefault="00857F07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948F528" w14:textId="77777777" w:rsidR="00857F07" w:rsidRDefault="00857F07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497662" w14:textId="77777777" w:rsidR="00857F07" w:rsidRDefault="00857F07" w:rsidP="006D7C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B716092" w14:textId="77777777" w:rsidR="00857F07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по планированию </w:t>
      </w:r>
    </w:p>
    <w:p w14:paraId="0688B689" w14:textId="02BEE2A0" w:rsidR="00857F07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учету доходов, работе с МУП                                             Т.В. Волкова</w:t>
      </w:r>
    </w:p>
    <w:p w14:paraId="1B62962F" w14:textId="77777777" w:rsidR="00857F07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3D87130" w14:textId="77777777" w:rsidR="00857F07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814C7DA" w14:textId="77777777" w:rsidR="00857F07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E47035D" w14:textId="0453FB3A" w:rsidR="00857F07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 главы администрации </w:t>
      </w:r>
    </w:p>
    <w:p w14:paraId="4BE11DCE" w14:textId="6EC32618" w:rsidR="00857F07" w:rsidRPr="00A84565" w:rsidRDefault="00857F07" w:rsidP="00857F0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финансам и экономике                                                   Т.В. Дьяконова</w:t>
      </w:r>
    </w:p>
    <w:sectPr w:rsidR="00857F07" w:rsidRPr="00A8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2C7"/>
    <w:multiLevelType w:val="hybridMultilevel"/>
    <w:tmpl w:val="86EA3A0C"/>
    <w:lvl w:ilvl="0" w:tplc="3D544C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D1630A"/>
    <w:multiLevelType w:val="hybridMultilevel"/>
    <w:tmpl w:val="626E9D80"/>
    <w:lvl w:ilvl="0" w:tplc="40567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725785">
    <w:abstractNumId w:val="1"/>
  </w:num>
  <w:num w:numId="2" w16cid:durableId="186077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E3"/>
    <w:rsid w:val="0007294F"/>
    <w:rsid w:val="00083730"/>
    <w:rsid w:val="000D28E9"/>
    <w:rsid w:val="00191042"/>
    <w:rsid w:val="00241063"/>
    <w:rsid w:val="002C33BA"/>
    <w:rsid w:val="002C35E7"/>
    <w:rsid w:val="00330B5E"/>
    <w:rsid w:val="003A046D"/>
    <w:rsid w:val="003A4027"/>
    <w:rsid w:val="003A7C82"/>
    <w:rsid w:val="005108B7"/>
    <w:rsid w:val="00544C2F"/>
    <w:rsid w:val="005D1B13"/>
    <w:rsid w:val="005F180A"/>
    <w:rsid w:val="00676ED7"/>
    <w:rsid w:val="006D7CE1"/>
    <w:rsid w:val="006E2CEB"/>
    <w:rsid w:val="0071166A"/>
    <w:rsid w:val="007623C5"/>
    <w:rsid w:val="00794A23"/>
    <w:rsid w:val="007D432A"/>
    <w:rsid w:val="00857F07"/>
    <w:rsid w:val="00860B12"/>
    <w:rsid w:val="008852C5"/>
    <w:rsid w:val="009A3353"/>
    <w:rsid w:val="009B1132"/>
    <w:rsid w:val="009D08E1"/>
    <w:rsid w:val="00A84565"/>
    <w:rsid w:val="00A96353"/>
    <w:rsid w:val="00AB7C70"/>
    <w:rsid w:val="00B27C9E"/>
    <w:rsid w:val="00B70C3F"/>
    <w:rsid w:val="00C1096C"/>
    <w:rsid w:val="00CD3E4D"/>
    <w:rsid w:val="00CF0140"/>
    <w:rsid w:val="00D32827"/>
    <w:rsid w:val="00D62856"/>
    <w:rsid w:val="00DE07E3"/>
    <w:rsid w:val="00F075A9"/>
    <w:rsid w:val="00F51194"/>
    <w:rsid w:val="00F63831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8E0E"/>
  <w15:docId w15:val="{F49B09B5-65DA-44EB-8794-092946A8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27"/>
    <w:pPr>
      <w:ind w:left="720"/>
      <w:contextualSpacing/>
    </w:pPr>
  </w:style>
  <w:style w:type="table" w:styleId="a4">
    <w:name w:val="Table Grid"/>
    <w:basedOn w:val="a1"/>
    <w:uiPriority w:val="39"/>
    <w:rsid w:val="00CF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C673-9FA5-4FA6-8CA1-ABC9109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15379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2023-11-07T00:58:00Z</cp:lastPrinted>
  <dcterms:created xsi:type="dcterms:W3CDTF">2023-10-24T08:54:00Z</dcterms:created>
  <dcterms:modified xsi:type="dcterms:W3CDTF">2023-11-08T00:03:00Z</dcterms:modified>
</cp:coreProperties>
</file>