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b/>
        </w:rPr>
      </w:pPr>
      <w:r w:rsidRPr="0029269A">
        <w:rPr>
          <w:rFonts w:ascii="Times New Roman" w:hAnsi="Times New Roman" w:cs="Times New Roman"/>
          <w:b/>
        </w:rPr>
        <w:t xml:space="preserve"> Часто задаваемые вопросы потребителей по установке </w:t>
      </w:r>
      <w:proofErr w:type="spellStart"/>
      <w:r w:rsidRPr="0029269A">
        <w:rPr>
          <w:rFonts w:ascii="Times New Roman" w:hAnsi="Times New Roman" w:cs="Times New Roman"/>
          <w:b/>
        </w:rPr>
        <w:t>общедомовых</w:t>
      </w:r>
      <w:proofErr w:type="spellEnd"/>
      <w:r w:rsidRPr="0029269A">
        <w:rPr>
          <w:rFonts w:ascii="Times New Roman" w:hAnsi="Times New Roman" w:cs="Times New Roman"/>
          <w:b/>
        </w:rPr>
        <w:t xml:space="preserve"> приборов учета</w:t>
      </w: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i/>
        </w:rPr>
        <w:t>Вопрос: Почему собственники должны платить за установку ОДПУ?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D51CC4" w:rsidRPr="0029269A" w:rsidTr="00D50043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9889" w:type="dxa"/>
          </w:tcPr>
          <w:p w:rsidR="00D51CC4" w:rsidRPr="0029269A" w:rsidRDefault="00D51CC4" w:rsidP="00D50043">
            <w:pPr>
              <w:pStyle w:val="Default"/>
              <w:jc w:val="both"/>
              <w:rPr>
                <w:sz w:val="22"/>
                <w:szCs w:val="22"/>
              </w:rPr>
            </w:pPr>
            <w:r w:rsidRPr="0029269A">
              <w:rPr>
                <w:sz w:val="22"/>
                <w:szCs w:val="22"/>
              </w:rPr>
              <w:t xml:space="preserve">Ответ:  Собственники помещений обязаны нести расходы на установку приборов учета в соответствии с пунктом 12 статьи 13 Федерального закона № 261 «Об энергоснабжении». </w:t>
            </w:r>
          </w:p>
          <w:p w:rsidR="00D51CC4" w:rsidRPr="0029269A" w:rsidRDefault="00D51CC4" w:rsidP="00D50043">
            <w:pPr>
              <w:pStyle w:val="Default"/>
              <w:jc w:val="both"/>
              <w:rPr>
                <w:sz w:val="22"/>
                <w:szCs w:val="22"/>
              </w:rPr>
            </w:pPr>
            <w:r w:rsidRPr="0029269A">
              <w:rPr>
                <w:sz w:val="22"/>
                <w:szCs w:val="22"/>
              </w:rPr>
              <w:t xml:space="preserve">При этом собственники, не исполнившие в установленный срок обязанности по оснащение домов приборами учета, обязаны возместить расходы на их установку, </w:t>
            </w:r>
            <w:proofErr w:type="spellStart"/>
            <w:r w:rsidRPr="0029269A">
              <w:rPr>
                <w:sz w:val="22"/>
                <w:szCs w:val="22"/>
              </w:rPr>
              <w:t>ресурсоснабжающей</w:t>
            </w:r>
            <w:proofErr w:type="spellEnd"/>
            <w:r w:rsidRPr="0029269A">
              <w:rPr>
                <w:sz w:val="22"/>
                <w:szCs w:val="22"/>
              </w:rPr>
              <w:t xml:space="preserve"> организации (МУП «</w:t>
            </w:r>
            <w:proofErr w:type="spellStart"/>
            <w:r w:rsidRPr="0029269A">
              <w:rPr>
                <w:sz w:val="22"/>
                <w:szCs w:val="22"/>
              </w:rPr>
              <w:t>Оленегорские</w:t>
            </w:r>
            <w:proofErr w:type="spellEnd"/>
            <w:r w:rsidRPr="0029269A">
              <w:rPr>
                <w:sz w:val="22"/>
                <w:szCs w:val="22"/>
              </w:rPr>
              <w:t xml:space="preserve"> тепловые сети» Граждане возмещают эти расходы единовременно или ежемесячно равными долями в течение пяти лет с даты установки узлов учета </w:t>
            </w:r>
            <w:proofErr w:type="gramStart"/>
            <w:r w:rsidRPr="0029269A">
              <w:rPr>
                <w:sz w:val="22"/>
                <w:szCs w:val="22"/>
              </w:rPr>
              <w:t xml:space="preserve">( </w:t>
            </w:r>
            <w:proofErr w:type="gramEnd"/>
            <w:r w:rsidRPr="0029269A">
              <w:rPr>
                <w:sz w:val="22"/>
                <w:szCs w:val="22"/>
              </w:rPr>
              <w:t xml:space="preserve">т.е. с июля 2013г). </w:t>
            </w:r>
          </w:p>
        </w:tc>
      </w:tr>
    </w:tbl>
    <w:p w:rsidR="00D51CC4" w:rsidRPr="0029269A" w:rsidRDefault="00D51CC4" w:rsidP="00D51CC4">
      <w:pPr>
        <w:pStyle w:val="a3"/>
        <w:jc w:val="both"/>
        <w:rPr>
          <w:rFonts w:ascii="Times New Roman" w:hAnsi="Times New Roman" w:cs="Times New Roman"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i/>
        </w:rPr>
        <w:t xml:space="preserve">Вопрос: Почему ОДПУ устанавливаются без </w:t>
      </w:r>
      <w:proofErr w:type="gramStart"/>
      <w:r w:rsidRPr="0029269A">
        <w:rPr>
          <w:rFonts w:ascii="Times New Roman" w:hAnsi="Times New Roman" w:cs="Times New Roman"/>
          <w:i/>
        </w:rPr>
        <w:t>ведома</w:t>
      </w:r>
      <w:proofErr w:type="gramEnd"/>
      <w:r w:rsidRPr="0029269A">
        <w:rPr>
          <w:rFonts w:ascii="Times New Roman" w:hAnsi="Times New Roman" w:cs="Times New Roman"/>
          <w:i/>
        </w:rPr>
        <w:t xml:space="preserve"> жителей?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D51CC4" w:rsidRPr="0029269A" w:rsidTr="00D50043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9889" w:type="dxa"/>
          </w:tcPr>
          <w:p w:rsidR="00D51CC4" w:rsidRPr="0029269A" w:rsidRDefault="00D51CC4" w:rsidP="00D50043">
            <w:pPr>
              <w:pStyle w:val="Default"/>
              <w:jc w:val="both"/>
              <w:rPr>
                <w:sz w:val="22"/>
                <w:szCs w:val="22"/>
              </w:rPr>
            </w:pPr>
            <w:r w:rsidRPr="0029269A">
              <w:rPr>
                <w:sz w:val="22"/>
                <w:szCs w:val="22"/>
              </w:rPr>
              <w:t xml:space="preserve">Ответ:  Согласно Федеральному закону № 261 «Об энергосбережении…» расчеты за энергетические ресурсы должны осуществляться на основании данных об их количественном значении, определенных посредством приборов учета. В законе четко определены крайние сроки установки счетчиков энергетических ресурсов: собственники жилья обязаны установить коллективный прибор учета до 1 июля 2012 года. Если жители сами не организовали такую установку, то обязанность организовать установку приборов возлагается, согласно статье 13 названного закона, на </w:t>
            </w:r>
            <w:proofErr w:type="spellStart"/>
            <w:r w:rsidRPr="0029269A">
              <w:rPr>
                <w:sz w:val="22"/>
                <w:szCs w:val="22"/>
              </w:rPr>
              <w:t>ресурсоснабжающие</w:t>
            </w:r>
            <w:proofErr w:type="spellEnd"/>
            <w:r w:rsidRPr="0029269A">
              <w:rPr>
                <w:sz w:val="22"/>
                <w:szCs w:val="22"/>
              </w:rPr>
              <w:t xml:space="preserve"> организации. При этом закон обязывает РСО устанавливать ОДПУ, невзирая на мнение жителей, так как срок самостоятельной установки истек. </w:t>
            </w:r>
          </w:p>
        </w:tc>
      </w:tr>
    </w:tbl>
    <w:p w:rsidR="00D51CC4" w:rsidRDefault="00D51CC4" w:rsidP="00D51CC4">
      <w:pPr>
        <w:jc w:val="both"/>
        <w:rPr>
          <w:rFonts w:ascii="Times New Roman" w:hAnsi="Times New Roman" w:cs="Times New Roman"/>
          <w:bCs/>
          <w:i/>
          <w:iCs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bCs/>
          <w:i/>
          <w:iCs/>
        </w:rPr>
        <w:t>Вопрос: Как рассчитывается платеж на квартиру или нежилое помещение?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D51CC4" w:rsidRPr="0029269A" w:rsidTr="00D50043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9747" w:type="dxa"/>
          </w:tcPr>
          <w:p w:rsidR="00D51CC4" w:rsidRPr="0029269A" w:rsidRDefault="00D51CC4" w:rsidP="00D50043">
            <w:pPr>
              <w:pStyle w:val="Default"/>
              <w:jc w:val="both"/>
              <w:rPr>
                <w:sz w:val="22"/>
                <w:szCs w:val="22"/>
              </w:rPr>
            </w:pPr>
            <w:r w:rsidRPr="0029269A">
              <w:rPr>
                <w:sz w:val="22"/>
                <w:szCs w:val="22"/>
              </w:rPr>
              <w:t xml:space="preserve">Ответ:  Сумма расходов за установку приборов учета, подлежащая возмещению собственников, определяются в зависимости от доли в праве общей собственности на общее имущество дома. Другими словами определяется как доля вашей квартиры или принадлежащего вам нежилого помещения в общей площади дома, а далее данная доля умножается на стоимость прибора. </w:t>
            </w:r>
          </w:p>
          <w:p w:rsidR="00D51CC4" w:rsidRPr="0029269A" w:rsidRDefault="00D51CC4" w:rsidP="00D50043">
            <w:pPr>
              <w:pStyle w:val="Default"/>
              <w:jc w:val="both"/>
              <w:rPr>
                <w:sz w:val="22"/>
                <w:szCs w:val="22"/>
              </w:rPr>
            </w:pPr>
            <w:r w:rsidRPr="0029269A">
              <w:rPr>
                <w:sz w:val="22"/>
                <w:szCs w:val="22"/>
              </w:rPr>
              <w:t xml:space="preserve">То есть, распределение между собственниками подлежащей возмещению суммы производится пропорционально площади квартиры или нежилого помещения, а не количеству квартир. </w:t>
            </w:r>
          </w:p>
          <w:p w:rsidR="00D51CC4" w:rsidRPr="0029269A" w:rsidRDefault="00D51CC4" w:rsidP="00D50043">
            <w:pPr>
              <w:pStyle w:val="Default"/>
              <w:jc w:val="both"/>
              <w:rPr>
                <w:sz w:val="22"/>
                <w:szCs w:val="22"/>
              </w:rPr>
            </w:pPr>
            <w:r w:rsidRPr="0029269A">
              <w:rPr>
                <w:sz w:val="22"/>
                <w:szCs w:val="22"/>
              </w:rPr>
              <w:t xml:space="preserve">Указанный порядок определен в п.38(1) Постановления Правительства РФ № 491 от 13.08.2006 и ст.37 Жилищного кодекса РФ </w:t>
            </w:r>
          </w:p>
        </w:tc>
      </w:tr>
    </w:tbl>
    <w:p w:rsidR="00D51CC4" w:rsidRPr="0029269A" w:rsidRDefault="00D51CC4" w:rsidP="00D51CC4">
      <w:pPr>
        <w:jc w:val="both"/>
        <w:rPr>
          <w:rFonts w:ascii="Times New Roman" w:hAnsi="Times New Roman" w:cs="Times New Roman"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i/>
        </w:rPr>
        <w:t xml:space="preserve">Вопрос: Почему ОДПУ </w:t>
      </w:r>
      <w:proofErr w:type="gramStart"/>
      <w:r w:rsidRPr="0029269A">
        <w:rPr>
          <w:rFonts w:ascii="Times New Roman" w:hAnsi="Times New Roman" w:cs="Times New Roman"/>
          <w:i/>
        </w:rPr>
        <w:t>такие</w:t>
      </w:r>
      <w:proofErr w:type="gramEnd"/>
      <w:r w:rsidRPr="0029269A">
        <w:rPr>
          <w:rFonts w:ascii="Times New Roman" w:hAnsi="Times New Roman" w:cs="Times New Roman"/>
          <w:i/>
        </w:rPr>
        <w:t xml:space="preserve"> разные по цене? Что именно входит в стоимость?</w:t>
      </w: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Ответ: Стоимость установки узла учета зависит от технических параметров конкретного здания и условий установки </w:t>
      </w:r>
      <w:proofErr w:type="gramStart"/>
      <w:r w:rsidRPr="0029269A">
        <w:rPr>
          <w:sz w:val="22"/>
          <w:szCs w:val="22"/>
        </w:rPr>
        <w:t xml:space="preserve">( </w:t>
      </w:r>
      <w:proofErr w:type="gramEnd"/>
      <w:r w:rsidRPr="0029269A">
        <w:rPr>
          <w:sz w:val="22"/>
          <w:szCs w:val="22"/>
        </w:rPr>
        <w:t xml:space="preserve">мощность, количество вводов) Стоимость может существенно отличаться в зависимости от учитываемых ресурсов. </w:t>
      </w:r>
    </w:p>
    <w:p w:rsidR="00D51CC4" w:rsidRPr="0029269A" w:rsidRDefault="00D51CC4" w:rsidP="00D51CC4">
      <w:pPr>
        <w:jc w:val="both"/>
        <w:rPr>
          <w:rFonts w:ascii="Times New Roman" w:hAnsi="Times New Roman" w:cs="Times New Roman"/>
        </w:rPr>
      </w:pPr>
      <w:r w:rsidRPr="0029269A">
        <w:rPr>
          <w:rFonts w:ascii="Times New Roman" w:hAnsi="Times New Roman" w:cs="Times New Roman"/>
        </w:rPr>
        <w:t>В стоимость входит весь комплекс работ с учетом оплаты</w:t>
      </w:r>
      <w:proofErr w:type="gramStart"/>
      <w:r w:rsidRPr="0029269A">
        <w:rPr>
          <w:rFonts w:ascii="Times New Roman" w:hAnsi="Times New Roman" w:cs="Times New Roman"/>
        </w:rPr>
        <w:t xml:space="preserve"> :</w:t>
      </w:r>
      <w:proofErr w:type="gramEnd"/>
      <w:r w:rsidRPr="0029269A">
        <w:rPr>
          <w:rFonts w:ascii="Times New Roman" w:hAnsi="Times New Roman" w:cs="Times New Roman"/>
        </w:rPr>
        <w:t xml:space="preserve"> проектное обследование, проектирование, согласование, комплектация и поставка, монтаж, пусконаладочные работы, при оплате в рассрочку банковские проценты. </w:t>
      </w: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i/>
        </w:rPr>
        <w:t>Вопрос: Чем подтверждается стоимость установки ОДПУ?</w:t>
      </w: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  <w:r w:rsidRPr="0029269A">
        <w:rPr>
          <w:sz w:val="22"/>
          <w:szCs w:val="22"/>
        </w:rPr>
        <w:t>Ответ: Сумма расходов по установке ОДПУ на конкретный дом индивидуальна и определяется произведенными затратами</w:t>
      </w:r>
      <w:proofErr w:type="gramStart"/>
      <w:r w:rsidRPr="0029269A">
        <w:rPr>
          <w:sz w:val="22"/>
          <w:szCs w:val="22"/>
        </w:rPr>
        <w:t xml:space="preserve"> .</w:t>
      </w:r>
      <w:proofErr w:type="gramEnd"/>
      <w:r w:rsidRPr="0029269A">
        <w:rPr>
          <w:sz w:val="22"/>
          <w:szCs w:val="22"/>
        </w:rPr>
        <w:t xml:space="preserve">и подтверждается документами по запросу потребителей. </w:t>
      </w:r>
    </w:p>
    <w:p w:rsidR="00D51CC4" w:rsidRPr="0029269A" w:rsidRDefault="00D51CC4" w:rsidP="00D51CC4">
      <w:pPr>
        <w:jc w:val="both"/>
        <w:rPr>
          <w:rFonts w:ascii="Times New Roman" w:hAnsi="Times New Roman" w:cs="Times New Roman"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i/>
        </w:rPr>
        <w:t>Вопрос: Почему расходы на установку ОДПУ включены в общую квитанцию?</w:t>
      </w: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  <w:r w:rsidRPr="0029269A">
        <w:rPr>
          <w:sz w:val="22"/>
          <w:szCs w:val="22"/>
        </w:rPr>
        <w:t>Ответ: Включение возмещения расходов в общую квитанцию разумная мера в интересах граждан</w:t>
      </w:r>
      <w:proofErr w:type="gramStart"/>
      <w:r w:rsidRPr="0029269A">
        <w:rPr>
          <w:sz w:val="22"/>
          <w:szCs w:val="22"/>
        </w:rPr>
        <w:t xml:space="preserve"> ,</w:t>
      </w:r>
      <w:proofErr w:type="gramEnd"/>
      <w:r w:rsidRPr="0029269A">
        <w:rPr>
          <w:sz w:val="22"/>
          <w:szCs w:val="22"/>
        </w:rPr>
        <w:t xml:space="preserve"> как с точки зрения удобства так и с точки зрения исключения дополнительных затрат на изготовление отдельной квитанции и оплаты комиссии за перевод платежа . Комиссия банков при </w:t>
      </w:r>
      <w:r w:rsidRPr="0029269A">
        <w:rPr>
          <w:sz w:val="22"/>
          <w:szCs w:val="22"/>
        </w:rPr>
        <w:lastRenderedPageBreak/>
        <w:t xml:space="preserve">приеме денег за установку приборов учета оплачивается самим плательщиком . Комиссия банков устанавливается как правило в процентах , и не превышает 2-3%. Но также предусмотрена минимальная сумма комиссии, которая может </w:t>
      </w:r>
      <w:proofErr w:type="gramStart"/>
      <w:r w:rsidRPr="0029269A">
        <w:rPr>
          <w:sz w:val="22"/>
          <w:szCs w:val="22"/>
        </w:rPr>
        <w:t>составлять</w:t>
      </w:r>
      <w:proofErr w:type="gramEnd"/>
      <w:r w:rsidRPr="0029269A">
        <w:rPr>
          <w:sz w:val="22"/>
          <w:szCs w:val="22"/>
        </w:rPr>
        <w:t xml:space="preserve"> например 30рублей. Таким </w:t>
      </w:r>
      <w:proofErr w:type="gramStart"/>
      <w:r w:rsidRPr="0029269A">
        <w:rPr>
          <w:sz w:val="22"/>
          <w:szCs w:val="22"/>
        </w:rPr>
        <w:t>образом</w:t>
      </w:r>
      <w:proofErr w:type="gramEnd"/>
      <w:r w:rsidRPr="0029269A">
        <w:rPr>
          <w:sz w:val="22"/>
          <w:szCs w:val="22"/>
        </w:rPr>
        <w:t xml:space="preserve"> при наличии отдельной квитанции может получиться что жильцы заплатят банку сумму за установку прибора учета, соизмеримую с платежом </w:t>
      </w:r>
    </w:p>
    <w:p w:rsidR="00D51CC4" w:rsidRDefault="00D51CC4" w:rsidP="00D51CC4">
      <w:pPr>
        <w:jc w:val="both"/>
        <w:rPr>
          <w:rFonts w:ascii="Times New Roman" w:hAnsi="Times New Roman" w:cs="Times New Roman"/>
        </w:rPr>
      </w:pPr>
    </w:p>
    <w:p w:rsidR="00D51CC4" w:rsidRPr="0029269A" w:rsidRDefault="00D51CC4" w:rsidP="00D51CC4">
      <w:pPr>
        <w:jc w:val="both"/>
        <w:rPr>
          <w:rFonts w:ascii="Times New Roman" w:hAnsi="Times New Roman" w:cs="Times New Roman"/>
          <w:i/>
        </w:rPr>
      </w:pPr>
      <w:r w:rsidRPr="0029269A">
        <w:rPr>
          <w:rFonts w:ascii="Times New Roman" w:hAnsi="Times New Roman" w:cs="Times New Roman"/>
          <w:i/>
        </w:rPr>
        <w:t xml:space="preserve">Вопрос: Зачет </w:t>
      </w:r>
      <w:proofErr w:type="gramStart"/>
      <w:r w:rsidRPr="0029269A">
        <w:rPr>
          <w:rFonts w:ascii="Times New Roman" w:hAnsi="Times New Roman" w:cs="Times New Roman"/>
          <w:i/>
        </w:rPr>
        <w:t>нужны</w:t>
      </w:r>
      <w:proofErr w:type="gramEnd"/>
      <w:r w:rsidRPr="0029269A">
        <w:rPr>
          <w:rFonts w:ascii="Times New Roman" w:hAnsi="Times New Roman" w:cs="Times New Roman"/>
          <w:i/>
        </w:rPr>
        <w:t xml:space="preserve"> ОДПУ?</w:t>
      </w: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Ответ: Установка </w:t>
      </w:r>
      <w:proofErr w:type="spellStart"/>
      <w:r w:rsidRPr="0029269A">
        <w:rPr>
          <w:sz w:val="22"/>
          <w:szCs w:val="22"/>
        </w:rPr>
        <w:t>общедомового</w:t>
      </w:r>
      <w:proofErr w:type="spellEnd"/>
      <w:r w:rsidRPr="0029269A">
        <w:rPr>
          <w:sz w:val="22"/>
          <w:szCs w:val="22"/>
        </w:rPr>
        <w:t xml:space="preserve"> прибора позволит собственникам: </w:t>
      </w:r>
    </w:p>
    <w:p w:rsidR="00D51CC4" w:rsidRPr="0029269A" w:rsidRDefault="00D51CC4" w:rsidP="00D51CC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перейти на оплату за фактическую величину потребленного ресурса (по ГВС – начиная с месяца – за который вашей управляющей организацией будут предоставлены показания данных приборов учета, по отоплению – по истечении календарного года) </w:t>
      </w:r>
    </w:p>
    <w:p w:rsidR="00D51CC4" w:rsidRPr="0029269A" w:rsidRDefault="00D51CC4" w:rsidP="00D51CC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контролировать соответствие параметров предоставляемых ресурсов нормативным показателям; </w:t>
      </w:r>
    </w:p>
    <w:p w:rsidR="00D51CC4" w:rsidRPr="0029269A" w:rsidRDefault="00D51CC4" w:rsidP="00D51CC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фиксировать факты утечки в системах </w:t>
      </w:r>
      <w:proofErr w:type="spellStart"/>
      <w:r w:rsidRPr="0029269A">
        <w:rPr>
          <w:sz w:val="22"/>
          <w:szCs w:val="22"/>
        </w:rPr>
        <w:t>водо</w:t>
      </w:r>
      <w:proofErr w:type="spellEnd"/>
      <w:r w:rsidRPr="0029269A">
        <w:rPr>
          <w:sz w:val="22"/>
          <w:szCs w:val="22"/>
        </w:rPr>
        <w:t xml:space="preserve">- и теплоснабжения жилого дома; </w:t>
      </w:r>
    </w:p>
    <w:p w:rsidR="00D51CC4" w:rsidRPr="0029269A" w:rsidRDefault="00D51CC4" w:rsidP="00D51CC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исключить потери воды от ЦТП до дома при расчетах с </w:t>
      </w:r>
      <w:proofErr w:type="spellStart"/>
      <w:r w:rsidRPr="0029269A">
        <w:rPr>
          <w:sz w:val="22"/>
          <w:szCs w:val="22"/>
        </w:rPr>
        <w:t>ресурсоснабжающими</w:t>
      </w:r>
      <w:proofErr w:type="spellEnd"/>
      <w:r w:rsidRPr="0029269A">
        <w:rPr>
          <w:sz w:val="22"/>
          <w:szCs w:val="22"/>
        </w:rPr>
        <w:t xml:space="preserve"> организациями - убытки за потери на магистральных сетях будут нести </w:t>
      </w:r>
      <w:proofErr w:type="spellStart"/>
      <w:r w:rsidRPr="0029269A">
        <w:rPr>
          <w:sz w:val="22"/>
          <w:szCs w:val="22"/>
        </w:rPr>
        <w:t>ресурсоснабжающие</w:t>
      </w:r>
      <w:proofErr w:type="spellEnd"/>
      <w:r w:rsidRPr="0029269A">
        <w:rPr>
          <w:sz w:val="22"/>
          <w:szCs w:val="22"/>
        </w:rPr>
        <w:t xml:space="preserve"> организации; </w:t>
      </w:r>
    </w:p>
    <w:p w:rsidR="00D51CC4" w:rsidRPr="0029269A" w:rsidRDefault="00D51CC4" w:rsidP="00D51CC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обязать компенсировать потери ресурсов в домовых сетях свою управляющую компанию в случае, если все собственники жилья установят индивидуальные приборы учета; </w:t>
      </w:r>
    </w:p>
    <w:p w:rsidR="00D51CC4" w:rsidRPr="0029269A" w:rsidRDefault="00D51CC4" w:rsidP="00D51CC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9269A">
        <w:rPr>
          <w:sz w:val="22"/>
          <w:szCs w:val="22"/>
        </w:rPr>
        <w:t xml:space="preserve">получить реальные возможности для ресурсосбережения. </w:t>
      </w: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</w:p>
    <w:p w:rsidR="00D51CC4" w:rsidRPr="0029269A" w:rsidRDefault="00D51CC4" w:rsidP="00D51C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29269A">
        <w:rPr>
          <w:sz w:val="22"/>
          <w:szCs w:val="22"/>
        </w:rPr>
        <w:t xml:space="preserve">становка узлов учѐта в соответствии с ФЗ-261 является обязанностью собственников помещений МКД. </w:t>
      </w:r>
      <w:r>
        <w:rPr>
          <w:sz w:val="22"/>
          <w:szCs w:val="22"/>
        </w:rPr>
        <w:t xml:space="preserve"> </w:t>
      </w:r>
      <w:r w:rsidRPr="0029269A">
        <w:rPr>
          <w:sz w:val="22"/>
          <w:szCs w:val="22"/>
        </w:rPr>
        <w:t xml:space="preserve">Кроме того, 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Федерации №306 от 23.05.2006, с 01 января 2015 </w:t>
      </w:r>
      <w:proofErr w:type="gramStart"/>
      <w:r w:rsidRPr="0029269A">
        <w:rPr>
          <w:sz w:val="22"/>
          <w:szCs w:val="22"/>
        </w:rPr>
        <w:t>года</w:t>
      </w:r>
      <w:proofErr w:type="gramEnd"/>
      <w:r w:rsidRPr="0029269A">
        <w:rPr>
          <w:sz w:val="22"/>
          <w:szCs w:val="22"/>
        </w:rPr>
        <w:t xml:space="preserve"> в случае если при наличии технической возможности установки </w:t>
      </w:r>
      <w:proofErr w:type="spellStart"/>
      <w:r w:rsidRPr="0029269A">
        <w:rPr>
          <w:sz w:val="22"/>
          <w:szCs w:val="22"/>
        </w:rPr>
        <w:t>общедомовых</w:t>
      </w:r>
      <w:proofErr w:type="spellEnd"/>
      <w:r w:rsidRPr="0029269A">
        <w:rPr>
          <w:sz w:val="22"/>
          <w:szCs w:val="22"/>
        </w:rPr>
        <w:t xml:space="preserve"> приборов учета они не установлены, норматив потребления коммунальной услуги (на основании которого рассчитывается сумма платежа за коммунальные услуги при отсутствии </w:t>
      </w:r>
      <w:proofErr w:type="spellStart"/>
      <w:r w:rsidRPr="0029269A">
        <w:rPr>
          <w:sz w:val="22"/>
          <w:szCs w:val="22"/>
        </w:rPr>
        <w:t>общедомового</w:t>
      </w:r>
      <w:proofErr w:type="spellEnd"/>
      <w:r w:rsidRPr="0029269A">
        <w:rPr>
          <w:sz w:val="22"/>
          <w:szCs w:val="22"/>
        </w:rPr>
        <w:t xml:space="preserve"> прибора учета) должен будет определяться с учетом повышающего коэффициента. </w:t>
      </w:r>
    </w:p>
    <w:p w:rsidR="00D51CC4" w:rsidRDefault="00D51CC4" w:rsidP="00D51CC4">
      <w:pPr>
        <w:ind w:firstLine="284"/>
        <w:rPr>
          <w:sz w:val="23"/>
          <w:szCs w:val="23"/>
        </w:rPr>
      </w:pPr>
    </w:p>
    <w:p w:rsidR="00D51CC4" w:rsidRDefault="00D51CC4" w:rsidP="00D51CC4">
      <w:pPr>
        <w:ind w:firstLine="284"/>
        <w:rPr>
          <w:sz w:val="23"/>
          <w:szCs w:val="23"/>
        </w:rPr>
      </w:pPr>
    </w:p>
    <w:p w:rsidR="00D51CC4" w:rsidRDefault="00D51CC4" w:rsidP="00D51CC4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D51CC4" w:rsidRDefault="00D51CC4" w:rsidP="00D51CC4">
      <w:pPr>
        <w:rPr>
          <w:rFonts w:ascii="Times New Roman" w:hAnsi="Times New Roman" w:cs="Times New Roman"/>
          <w:sz w:val="20"/>
          <w:szCs w:val="20"/>
        </w:rPr>
      </w:pPr>
    </w:p>
    <w:p w:rsidR="00D51CC4" w:rsidRDefault="00D51CC4" w:rsidP="00D51CC4">
      <w:pPr>
        <w:rPr>
          <w:rFonts w:ascii="Times New Roman" w:hAnsi="Times New Roman" w:cs="Times New Roman"/>
          <w:sz w:val="20"/>
          <w:szCs w:val="20"/>
        </w:rPr>
      </w:pPr>
    </w:p>
    <w:p w:rsidR="00D51CC4" w:rsidRDefault="00D51CC4" w:rsidP="00D51C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Капитурова В.П.</w:t>
      </w:r>
    </w:p>
    <w:p w:rsidR="00D51CC4" w:rsidRDefault="00D51CC4" w:rsidP="00D51CC4">
      <w:pPr>
        <w:rPr>
          <w:rFonts w:ascii="Times New Roman" w:hAnsi="Times New Roman" w:cs="Times New Roman"/>
          <w:sz w:val="20"/>
          <w:szCs w:val="20"/>
        </w:rPr>
      </w:pPr>
    </w:p>
    <w:p w:rsidR="004D697A" w:rsidRDefault="004D697A"/>
    <w:sectPr w:rsidR="004D697A" w:rsidSect="004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15"/>
    <w:multiLevelType w:val="hybridMultilevel"/>
    <w:tmpl w:val="31F87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CC4"/>
    <w:rsid w:val="004D697A"/>
    <w:rsid w:val="00D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C4"/>
    <w:pPr>
      <w:ind w:left="720"/>
      <w:contextualSpacing/>
    </w:pPr>
  </w:style>
  <w:style w:type="paragraph" w:customStyle="1" w:styleId="Default">
    <w:name w:val="Default"/>
    <w:rsid w:val="00D5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2021-04-01T09:02:00Z</dcterms:created>
  <dcterms:modified xsi:type="dcterms:W3CDTF">2021-04-01T09:03:00Z</dcterms:modified>
</cp:coreProperties>
</file>